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C79A" w14:textId="2BF0DF54" w:rsidR="00352BED" w:rsidRPr="00B70DEF" w:rsidRDefault="002F0135" w:rsidP="002F0135">
      <w:pPr>
        <w:keepNext/>
        <w:keepLines/>
        <w:spacing w:before="240"/>
        <w:jc w:val="center"/>
        <w:outlineLvl w:val="0"/>
        <w:rPr>
          <w:rFonts w:ascii="Cambria" w:eastAsia="Times New Roman" w:hAnsi="Cambria" w:cstheme="majorBidi"/>
          <w:color w:val="auto"/>
          <w:sz w:val="32"/>
          <w:szCs w:val="32"/>
          <w:lang w:eastAsia="en-GB"/>
        </w:rPr>
      </w:pPr>
      <w:r w:rsidRPr="000334EB">
        <w:rPr>
          <w:noProof/>
          <w:lang w:eastAsia="en-GB"/>
        </w:rPr>
        <w:drawing>
          <wp:inline distT="0" distB="0" distL="0" distR="0" wp14:anchorId="52B4524F" wp14:editId="6AC694C3">
            <wp:extent cx="5229225" cy="1181100"/>
            <wp:effectExtent l="0" t="0" r="9525" b="0"/>
            <wp:docPr id="1" name="Picture 1" descr="C:\Users\mira\AppData\Local\Microsoft\Windows\Temporary Internet Files\Content.Outlook\D9MKVYKB\Continuum logo addres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a\AppData\Local\Microsoft\Windows\Temporary Internet Files\Content.Outlook\D9MKVYKB\Continuum logo address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1181100"/>
                    </a:xfrm>
                    <a:prstGeom prst="rect">
                      <a:avLst/>
                    </a:prstGeom>
                    <a:noFill/>
                    <a:ln>
                      <a:noFill/>
                    </a:ln>
                  </pic:spPr>
                </pic:pic>
              </a:graphicData>
            </a:graphic>
          </wp:inline>
        </w:drawing>
      </w:r>
    </w:p>
    <w:p w14:paraId="3E1C7EF4" w14:textId="3480315A" w:rsidR="00BA3983" w:rsidRPr="00B70DEF" w:rsidRDefault="00680CD0" w:rsidP="00352BED">
      <w:pPr>
        <w:keepNext/>
        <w:keepLines/>
        <w:spacing w:before="240"/>
        <w:jc w:val="center"/>
        <w:outlineLvl w:val="0"/>
        <w:rPr>
          <w:rFonts w:ascii="Cambria" w:eastAsia="Times New Roman" w:hAnsi="Cambria" w:cstheme="majorBidi"/>
          <w:color w:val="auto"/>
          <w:sz w:val="36"/>
          <w:szCs w:val="36"/>
          <w:u w:val="single"/>
          <w:lang w:eastAsia="en-GB"/>
        </w:rPr>
      </w:pPr>
      <w:r w:rsidRPr="00B70DEF">
        <w:rPr>
          <w:rFonts w:ascii="Cambria" w:eastAsia="Times New Roman" w:hAnsi="Cambria" w:cstheme="majorBidi"/>
          <w:color w:val="auto"/>
          <w:sz w:val="36"/>
          <w:szCs w:val="36"/>
          <w:u w:val="single"/>
          <w:lang w:eastAsia="en-GB"/>
        </w:rPr>
        <w:t>Our Services and Charges</w:t>
      </w:r>
    </w:p>
    <w:p w14:paraId="5CB72E50" w14:textId="77777777" w:rsidR="0009395A" w:rsidRPr="00B70DEF" w:rsidRDefault="0009395A" w:rsidP="0009395A">
      <w:pPr>
        <w:rPr>
          <w:color w:val="auto"/>
        </w:rPr>
      </w:pPr>
    </w:p>
    <w:p w14:paraId="6AA45B4B" w14:textId="5135C437" w:rsidR="00352BED" w:rsidRPr="00B70DEF" w:rsidRDefault="0021110F" w:rsidP="00833F3C">
      <w:pPr>
        <w:spacing w:line="240" w:lineRule="auto"/>
        <w:rPr>
          <w:rFonts w:ascii="Cambria" w:eastAsia="Calibri" w:hAnsi="Cambria" w:cs="Times New Roman"/>
          <w:color w:val="auto"/>
          <w:lang w:eastAsia="en-GB"/>
        </w:rPr>
      </w:pPr>
      <w:r>
        <w:rPr>
          <w:rFonts w:ascii="Cambria" w:eastAsia="Calibri" w:hAnsi="Cambria" w:cs="Times New Roman"/>
          <w:color w:val="auto"/>
          <w:lang w:eastAsia="en-GB"/>
        </w:rPr>
        <w:t>We are a F</w:t>
      </w:r>
      <w:r w:rsidR="00BA3983" w:rsidRPr="00B70DEF">
        <w:rPr>
          <w:rFonts w:ascii="Cambria" w:eastAsia="Calibri" w:hAnsi="Cambria" w:cs="Times New Roman"/>
          <w:color w:val="auto"/>
          <w:lang w:eastAsia="en-GB"/>
        </w:rPr>
        <w:t xml:space="preserve">inancial </w:t>
      </w:r>
      <w:r>
        <w:rPr>
          <w:rFonts w:ascii="Cambria" w:eastAsia="Calibri" w:hAnsi="Cambria" w:cs="Times New Roman"/>
          <w:color w:val="auto"/>
          <w:lang w:eastAsia="en-GB"/>
        </w:rPr>
        <w:t>P</w:t>
      </w:r>
      <w:r w:rsidR="00BA3983" w:rsidRPr="00B70DEF">
        <w:rPr>
          <w:rFonts w:ascii="Cambria" w:eastAsia="Calibri" w:hAnsi="Cambria" w:cs="Times New Roman"/>
          <w:color w:val="auto"/>
          <w:lang w:eastAsia="en-GB"/>
        </w:rPr>
        <w:t xml:space="preserve">lanning </w:t>
      </w:r>
      <w:r w:rsidR="00680CD0" w:rsidRPr="00B70DEF">
        <w:rPr>
          <w:rFonts w:ascii="Cambria" w:eastAsia="Calibri" w:hAnsi="Cambria" w:cs="Times New Roman"/>
          <w:color w:val="auto"/>
          <w:lang w:eastAsia="en-GB"/>
        </w:rPr>
        <w:t xml:space="preserve">and </w:t>
      </w:r>
      <w:r>
        <w:rPr>
          <w:rFonts w:ascii="Cambria" w:eastAsia="Calibri" w:hAnsi="Cambria" w:cs="Times New Roman"/>
          <w:color w:val="auto"/>
          <w:lang w:eastAsia="en-GB"/>
        </w:rPr>
        <w:t>W</w:t>
      </w:r>
      <w:r w:rsidR="00680CD0" w:rsidRPr="00B70DEF">
        <w:rPr>
          <w:rFonts w:ascii="Cambria" w:eastAsia="Calibri" w:hAnsi="Cambria" w:cs="Times New Roman"/>
          <w:color w:val="auto"/>
          <w:lang w:eastAsia="en-GB"/>
        </w:rPr>
        <w:t xml:space="preserve">ealth </w:t>
      </w:r>
      <w:r>
        <w:rPr>
          <w:rFonts w:ascii="Cambria" w:eastAsia="Calibri" w:hAnsi="Cambria" w:cs="Times New Roman"/>
          <w:color w:val="auto"/>
          <w:lang w:eastAsia="en-GB"/>
        </w:rPr>
        <w:t>M</w:t>
      </w:r>
      <w:r w:rsidR="00680CD0" w:rsidRPr="00B70DEF">
        <w:rPr>
          <w:rFonts w:ascii="Cambria" w:eastAsia="Calibri" w:hAnsi="Cambria" w:cs="Times New Roman"/>
          <w:color w:val="auto"/>
          <w:lang w:eastAsia="en-GB"/>
        </w:rPr>
        <w:t xml:space="preserve">anagement </w:t>
      </w:r>
      <w:r w:rsidR="00BA3983" w:rsidRPr="00B70DEF">
        <w:rPr>
          <w:rFonts w:ascii="Cambria" w:eastAsia="Calibri" w:hAnsi="Cambria" w:cs="Times New Roman"/>
          <w:color w:val="auto"/>
          <w:lang w:eastAsia="en-GB"/>
        </w:rPr>
        <w:t xml:space="preserve">business, focused on helping you understand and plan for your financial future. This information is designed to give you an idea of: </w:t>
      </w:r>
    </w:p>
    <w:p w14:paraId="3E1C7EF6" w14:textId="77777777" w:rsidR="00BA3983" w:rsidRPr="00B70DEF" w:rsidRDefault="00BA3983" w:rsidP="00424C26">
      <w:pPr>
        <w:numPr>
          <w:ilvl w:val="0"/>
          <w:numId w:val="11"/>
        </w:numPr>
        <w:spacing w:line="240" w:lineRule="auto"/>
        <w:jc w:val="both"/>
        <w:rPr>
          <w:rFonts w:ascii="Cambria" w:eastAsia="Calibri" w:hAnsi="Cambria" w:cs="Times New Roman"/>
          <w:b/>
          <w:color w:val="auto"/>
          <w:lang w:eastAsia="en-GB"/>
        </w:rPr>
      </w:pPr>
      <w:r w:rsidRPr="00B70DEF">
        <w:rPr>
          <w:rFonts w:ascii="Cambria" w:eastAsia="Calibri" w:hAnsi="Cambria" w:cs="Times New Roman"/>
          <w:b/>
          <w:color w:val="auto"/>
          <w:lang w:eastAsia="en-GB"/>
        </w:rPr>
        <w:t xml:space="preserve">What we do and how we do it (our services) </w:t>
      </w:r>
    </w:p>
    <w:p w14:paraId="3E1C7EF7" w14:textId="77777777" w:rsidR="00BA3983" w:rsidRPr="00B70DEF" w:rsidRDefault="00BA3983" w:rsidP="00424C26">
      <w:pPr>
        <w:numPr>
          <w:ilvl w:val="0"/>
          <w:numId w:val="11"/>
        </w:numPr>
        <w:spacing w:line="240" w:lineRule="auto"/>
        <w:jc w:val="both"/>
        <w:rPr>
          <w:rFonts w:ascii="Cambria" w:eastAsia="Calibri" w:hAnsi="Cambria" w:cs="Times New Roman"/>
          <w:b/>
          <w:color w:val="auto"/>
          <w:lang w:eastAsia="en-GB"/>
        </w:rPr>
      </w:pPr>
      <w:r w:rsidRPr="00B70DEF">
        <w:rPr>
          <w:rFonts w:ascii="Cambria" w:eastAsia="Calibri" w:hAnsi="Cambria" w:cs="Times New Roman"/>
          <w:b/>
          <w:color w:val="auto"/>
          <w:lang w:eastAsia="en-GB"/>
        </w:rPr>
        <w:t>What it’s likely to cost and how you can pay us</w:t>
      </w:r>
    </w:p>
    <w:p w14:paraId="251E3C81" w14:textId="77777777" w:rsidR="00680CD0" w:rsidRPr="00B70DEF" w:rsidRDefault="00680CD0" w:rsidP="00680CD0">
      <w:pPr>
        <w:spacing w:line="240" w:lineRule="auto"/>
        <w:ind w:left="720"/>
        <w:jc w:val="both"/>
        <w:rPr>
          <w:rFonts w:ascii="Cambria" w:eastAsia="Calibri" w:hAnsi="Cambria" w:cs="Times New Roman"/>
          <w:b/>
          <w:color w:val="auto"/>
          <w:lang w:eastAsia="en-GB"/>
        </w:rPr>
      </w:pPr>
    </w:p>
    <w:tbl>
      <w:tblPr>
        <w:tblStyle w:val="6pt"/>
        <w:tblW w:w="0" w:type="auto"/>
        <w:shd w:val="clear" w:color="auto" w:fill="C2C6CA" w:themeFill="accent1" w:themeFillTint="66"/>
        <w:tblLook w:val="04A0" w:firstRow="1" w:lastRow="0" w:firstColumn="1" w:lastColumn="0" w:noHBand="0" w:noVBand="1"/>
      </w:tblPr>
      <w:tblGrid>
        <w:gridCol w:w="9016"/>
      </w:tblGrid>
      <w:tr w:rsidR="00B70DEF" w:rsidRPr="00B70DEF" w14:paraId="3E1C7EFA" w14:textId="77777777" w:rsidTr="0009395A">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C2C6CA" w:themeFill="accent1" w:themeFillTint="66"/>
          </w:tcPr>
          <w:p w14:paraId="27322EBB" w14:textId="77777777" w:rsidR="00352BED" w:rsidRDefault="00BA3983" w:rsidP="0009395A">
            <w:pPr>
              <w:spacing w:before="60" w:after="60"/>
              <w:jc w:val="center"/>
              <w:rPr>
                <w:rFonts w:ascii="Cambria" w:hAnsi="Cambria"/>
                <w:color w:val="auto"/>
              </w:rPr>
            </w:pPr>
            <w:r w:rsidRPr="00B70DEF">
              <w:rPr>
                <w:rFonts w:ascii="Cambria" w:hAnsi="Cambria"/>
                <w:color w:val="auto"/>
              </w:rPr>
              <w:t>This document provides details about our services to you and how we charge, so it’s important that you read it fully. If there is something you don’t unde</w:t>
            </w:r>
            <w:r w:rsidR="0009395A" w:rsidRPr="00B70DEF">
              <w:rPr>
                <w:rFonts w:ascii="Cambria" w:hAnsi="Cambria"/>
                <w:color w:val="auto"/>
              </w:rPr>
              <w:t>rstand please ask us to explain</w:t>
            </w:r>
            <w:r w:rsidRPr="00B70DEF">
              <w:rPr>
                <w:rFonts w:ascii="Cambria" w:hAnsi="Cambria"/>
                <w:color w:val="auto"/>
              </w:rPr>
              <w:t>.</w:t>
            </w:r>
          </w:p>
          <w:p w14:paraId="3E1C7EF9" w14:textId="08781567" w:rsidR="008602D8" w:rsidRPr="00B70DEF" w:rsidRDefault="008602D8" w:rsidP="0009395A">
            <w:pPr>
              <w:spacing w:before="60" w:after="60"/>
              <w:jc w:val="center"/>
              <w:rPr>
                <w:rFonts w:ascii="Cambria" w:hAnsi="Cambria"/>
                <w:color w:val="auto"/>
              </w:rPr>
            </w:pPr>
            <w:r w:rsidRPr="008602D8">
              <w:rPr>
                <w:rFonts w:ascii="Cambria" w:hAnsi="Cambria"/>
                <w:color w:val="auto"/>
              </w:rPr>
              <w:t>If you would like this document in larger print or in another format, please contact us</w:t>
            </w:r>
            <w:r w:rsidRPr="008602D8">
              <w:rPr>
                <w:rFonts w:ascii="Cambria" w:hAnsi="Cambria"/>
                <w:b/>
                <w:bCs/>
                <w:color w:val="auto"/>
              </w:rPr>
              <w:t>.</w:t>
            </w:r>
          </w:p>
        </w:tc>
      </w:tr>
    </w:tbl>
    <w:p w14:paraId="30C1F963" w14:textId="77777777" w:rsidR="00680CD0" w:rsidRPr="00B70DEF" w:rsidRDefault="00680CD0" w:rsidP="00680CD0">
      <w:pPr>
        <w:autoSpaceDE w:val="0"/>
        <w:autoSpaceDN w:val="0"/>
        <w:adjustRightInd w:val="0"/>
        <w:spacing w:line="240" w:lineRule="auto"/>
        <w:rPr>
          <w:rFonts w:ascii="Cambria" w:hAnsi="Cambria"/>
          <w:color w:val="auto"/>
        </w:rPr>
      </w:pPr>
    </w:p>
    <w:p w14:paraId="77F86E53" w14:textId="77777777" w:rsidR="00680CD0" w:rsidRPr="00B70DEF" w:rsidRDefault="00680CD0" w:rsidP="00680CD0">
      <w:pPr>
        <w:autoSpaceDE w:val="0"/>
        <w:autoSpaceDN w:val="0"/>
        <w:adjustRightInd w:val="0"/>
        <w:spacing w:line="240" w:lineRule="auto"/>
        <w:rPr>
          <w:rFonts w:ascii="Cambria" w:hAnsi="Cambria"/>
          <w:color w:val="auto"/>
        </w:rPr>
      </w:pPr>
      <w:r w:rsidRPr="00B70DEF">
        <w:rPr>
          <w:rFonts w:ascii="Cambria" w:hAnsi="Cambria"/>
          <w:color w:val="auto"/>
        </w:rPr>
        <w:t xml:space="preserve">We offer </w:t>
      </w:r>
      <w:r w:rsidRPr="00B70DEF">
        <w:rPr>
          <w:rFonts w:ascii="Cambria" w:hAnsi="Cambria"/>
          <w:b/>
          <w:color w:val="auto"/>
        </w:rPr>
        <w:t>independent</w:t>
      </w:r>
      <w:r w:rsidRPr="00B70DEF">
        <w:rPr>
          <w:rFonts w:ascii="Cambria" w:hAnsi="Cambria"/>
          <w:color w:val="auto"/>
        </w:rPr>
        <w:t xml:space="preserve"> investment advice. This means that we consider a wide range of financial strategies and products. We are constantly reviewing the market to ensure that the services and products we offer are appropriate for our clients. </w:t>
      </w:r>
    </w:p>
    <w:p w14:paraId="10AD4CA8" w14:textId="77777777" w:rsidR="00680CD0" w:rsidRPr="00B70DEF" w:rsidRDefault="00680CD0" w:rsidP="00680CD0">
      <w:pPr>
        <w:autoSpaceDE w:val="0"/>
        <w:autoSpaceDN w:val="0"/>
        <w:adjustRightInd w:val="0"/>
        <w:spacing w:line="240" w:lineRule="auto"/>
        <w:rPr>
          <w:rFonts w:ascii="Cambria" w:hAnsi="Cambria"/>
          <w:color w:val="auto"/>
        </w:rPr>
      </w:pPr>
      <w:r w:rsidRPr="00B70DEF">
        <w:rPr>
          <w:rFonts w:ascii="Cambria" w:hAnsi="Cambria"/>
          <w:color w:val="auto"/>
        </w:rPr>
        <w:t xml:space="preserve">Where we recommend particular investment strategies and products to you, these will be selected based on your personal circumstances, financial goals and objectives. We’ll consider a number of factors, including the services you need, the cost of investing, how much risk you are prepared to accept in an investment product and how much of a drop in its value you could withstand. </w:t>
      </w:r>
    </w:p>
    <w:p w14:paraId="63628F16" w14:textId="77777777" w:rsidR="00680CD0" w:rsidRPr="00B70DEF" w:rsidRDefault="00680CD0" w:rsidP="00680CD0">
      <w:pPr>
        <w:autoSpaceDE w:val="0"/>
        <w:autoSpaceDN w:val="0"/>
        <w:adjustRightInd w:val="0"/>
        <w:spacing w:line="240" w:lineRule="auto"/>
        <w:rPr>
          <w:rFonts w:ascii="Cambria" w:hAnsi="Cambria"/>
          <w:color w:val="auto"/>
        </w:rPr>
      </w:pPr>
      <w:r w:rsidRPr="00B70DEF">
        <w:rPr>
          <w:rFonts w:ascii="Cambria" w:hAnsi="Cambria"/>
          <w:color w:val="auto"/>
        </w:rPr>
        <w:t xml:space="preserve">The areas we can advise on include: </w:t>
      </w:r>
    </w:p>
    <w:tbl>
      <w:tblPr>
        <w:tblStyle w:val="TableGrid"/>
        <w:tblW w:w="90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4536"/>
      </w:tblGrid>
      <w:tr w:rsidR="000F3218" w:rsidRPr="00B70DEF" w14:paraId="2172EC6D" w14:textId="77777777" w:rsidTr="00797590">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auto"/>
          </w:tcPr>
          <w:p w14:paraId="571838D3" w14:textId="1769ADB6" w:rsidR="000F3218" w:rsidRPr="00B70DEF" w:rsidRDefault="000F3218" w:rsidP="000F3218">
            <w:pPr>
              <w:pStyle w:val="ListParagraph"/>
              <w:numPr>
                <w:ilvl w:val="0"/>
                <w:numId w:val="20"/>
              </w:numPr>
              <w:spacing w:before="60" w:after="60"/>
              <w:rPr>
                <w:rFonts w:ascii="Cambria" w:hAnsi="Cambria"/>
                <w:color w:val="auto"/>
              </w:rPr>
            </w:pPr>
            <w:r w:rsidRPr="0084343E">
              <w:rPr>
                <w:rFonts w:ascii="Cambria" w:hAnsi="Cambria"/>
                <w:color w:val="auto"/>
              </w:rPr>
              <w:t>Unit trusts</w:t>
            </w:r>
            <w:r>
              <w:rPr>
                <w:rFonts w:ascii="Cambria" w:hAnsi="Cambria"/>
                <w:color w:val="auto"/>
              </w:rPr>
              <w:t xml:space="preserve"> &amp; OEICs</w:t>
            </w:r>
          </w:p>
        </w:tc>
        <w:tc>
          <w:tcPr>
            <w:tcW w:w="4536" w:type="dxa"/>
            <w:shd w:val="clear" w:color="auto" w:fill="auto"/>
          </w:tcPr>
          <w:p w14:paraId="5748DDD4" w14:textId="7C346A6A" w:rsidR="000F3218" w:rsidRPr="0084343E" w:rsidRDefault="000F3218" w:rsidP="000F3218">
            <w:pPr>
              <w:pStyle w:val="ListParagraph"/>
              <w:numPr>
                <w:ilvl w:val="0"/>
                <w:numId w:val="20"/>
              </w:numPr>
              <w:spacing w:before="60" w:after="60"/>
              <w:rPr>
                <w:rFonts w:ascii="Cambria" w:hAnsi="Cambria"/>
                <w:color w:val="auto"/>
              </w:rPr>
            </w:pPr>
            <w:r w:rsidRPr="00B70DEF">
              <w:rPr>
                <w:rFonts w:ascii="Cambria" w:hAnsi="Cambria"/>
                <w:color w:val="auto"/>
              </w:rPr>
              <w:t>Venture capital trusts</w:t>
            </w:r>
          </w:p>
        </w:tc>
      </w:tr>
      <w:tr w:rsidR="000F3218" w:rsidRPr="00B70DEF" w14:paraId="693EF73E" w14:textId="77777777" w:rsidTr="00797590">
        <w:tc>
          <w:tcPr>
            <w:tcW w:w="4531" w:type="dxa"/>
          </w:tcPr>
          <w:p w14:paraId="50E4E657" w14:textId="32DB63F9" w:rsidR="000F3218" w:rsidRPr="009141E3" w:rsidRDefault="000F3218" w:rsidP="009141E3">
            <w:pPr>
              <w:pStyle w:val="ListParagraph"/>
              <w:numPr>
                <w:ilvl w:val="0"/>
                <w:numId w:val="20"/>
              </w:numPr>
              <w:spacing w:before="60" w:after="60"/>
              <w:rPr>
                <w:rFonts w:ascii="Cambria" w:hAnsi="Cambria"/>
                <w:color w:val="auto"/>
              </w:rPr>
            </w:pPr>
            <w:r w:rsidRPr="00B70DEF">
              <w:rPr>
                <w:rFonts w:ascii="Cambria" w:hAnsi="Cambria"/>
                <w:color w:val="auto"/>
              </w:rPr>
              <w:t>Investment trusts</w:t>
            </w:r>
          </w:p>
        </w:tc>
        <w:tc>
          <w:tcPr>
            <w:tcW w:w="4536" w:type="dxa"/>
          </w:tcPr>
          <w:p w14:paraId="78658226" w14:textId="6ADD1347" w:rsidR="000F3218" w:rsidRPr="00B70DEF" w:rsidRDefault="000F3218" w:rsidP="000F3218">
            <w:pPr>
              <w:pStyle w:val="ListParagraph"/>
              <w:numPr>
                <w:ilvl w:val="0"/>
                <w:numId w:val="20"/>
              </w:numPr>
              <w:spacing w:before="60" w:after="60"/>
              <w:rPr>
                <w:rFonts w:ascii="Cambria" w:hAnsi="Cambria"/>
                <w:color w:val="auto"/>
              </w:rPr>
            </w:pPr>
            <w:r w:rsidRPr="00B70DEF">
              <w:rPr>
                <w:rFonts w:ascii="Cambria" w:hAnsi="Cambria"/>
                <w:color w:val="auto"/>
              </w:rPr>
              <w:t>Enterprise investment schemes</w:t>
            </w:r>
          </w:p>
        </w:tc>
      </w:tr>
      <w:tr w:rsidR="009141E3" w:rsidRPr="00B70DEF" w14:paraId="25493CA1" w14:textId="77777777" w:rsidTr="00797590">
        <w:tc>
          <w:tcPr>
            <w:tcW w:w="4531" w:type="dxa"/>
          </w:tcPr>
          <w:p w14:paraId="637F6EF6" w14:textId="43CBBA1C" w:rsidR="009141E3" w:rsidRPr="00B70DEF" w:rsidRDefault="009141E3" w:rsidP="000F3218">
            <w:pPr>
              <w:pStyle w:val="ListParagraph"/>
              <w:numPr>
                <w:ilvl w:val="0"/>
                <w:numId w:val="20"/>
              </w:numPr>
              <w:spacing w:before="60" w:after="60"/>
              <w:rPr>
                <w:rFonts w:ascii="Cambria" w:hAnsi="Cambria"/>
                <w:color w:val="auto"/>
              </w:rPr>
            </w:pPr>
            <w:r w:rsidRPr="00B70DEF">
              <w:rPr>
                <w:rFonts w:ascii="Cambria" w:hAnsi="Cambria"/>
                <w:color w:val="auto"/>
              </w:rPr>
              <w:t>Exchange traded funds</w:t>
            </w:r>
          </w:p>
        </w:tc>
        <w:tc>
          <w:tcPr>
            <w:tcW w:w="4536" w:type="dxa"/>
          </w:tcPr>
          <w:p w14:paraId="2AD0BF57" w14:textId="1AA77176" w:rsidR="009141E3" w:rsidRPr="00B70DEF" w:rsidRDefault="009141E3" w:rsidP="000F3218">
            <w:pPr>
              <w:pStyle w:val="ListParagraph"/>
              <w:numPr>
                <w:ilvl w:val="0"/>
                <w:numId w:val="20"/>
              </w:numPr>
              <w:spacing w:before="60" w:after="60"/>
              <w:rPr>
                <w:rFonts w:ascii="Cambria" w:hAnsi="Cambria"/>
                <w:color w:val="auto"/>
              </w:rPr>
            </w:pPr>
            <w:r>
              <w:rPr>
                <w:rFonts w:ascii="Cambria" w:hAnsi="Cambria"/>
                <w:color w:val="auto"/>
              </w:rPr>
              <w:t>Business Property Relief</w:t>
            </w:r>
          </w:p>
        </w:tc>
      </w:tr>
      <w:tr w:rsidR="000F3218" w:rsidRPr="00B70DEF" w14:paraId="076CCFF3" w14:textId="77777777" w:rsidTr="00797590">
        <w:tc>
          <w:tcPr>
            <w:tcW w:w="4531" w:type="dxa"/>
          </w:tcPr>
          <w:p w14:paraId="2FA00713" w14:textId="118830DA" w:rsidR="000F3218" w:rsidRPr="00B70DEF" w:rsidRDefault="000F3218" w:rsidP="000F3218">
            <w:pPr>
              <w:pStyle w:val="ListParagraph"/>
              <w:numPr>
                <w:ilvl w:val="0"/>
                <w:numId w:val="20"/>
              </w:numPr>
              <w:spacing w:before="60" w:after="60"/>
              <w:rPr>
                <w:rFonts w:ascii="Cambria" w:hAnsi="Cambria"/>
                <w:color w:val="auto"/>
              </w:rPr>
            </w:pPr>
            <w:r w:rsidRPr="00B70DEF">
              <w:rPr>
                <w:rFonts w:ascii="Cambria" w:hAnsi="Cambria"/>
                <w:color w:val="auto"/>
              </w:rPr>
              <w:t>ISA</w:t>
            </w:r>
            <w:r>
              <w:rPr>
                <w:rFonts w:ascii="Cambria" w:hAnsi="Cambria"/>
                <w:color w:val="auto"/>
              </w:rPr>
              <w:t>s</w:t>
            </w:r>
          </w:p>
        </w:tc>
        <w:tc>
          <w:tcPr>
            <w:tcW w:w="4536" w:type="dxa"/>
          </w:tcPr>
          <w:p w14:paraId="293C3FEA" w14:textId="10EFD635" w:rsidR="000F3218" w:rsidRPr="00B70DEF" w:rsidRDefault="009141E3" w:rsidP="000F3218">
            <w:pPr>
              <w:pStyle w:val="ListParagraph"/>
              <w:numPr>
                <w:ilvl w:val="0"/>
                <w:numId w:val="20"/>
              </w:numPr>
              <w:spacing w:before="60" w:after="60"/>
              <w:rPr>
                <w:rFonts w:ascii="Cambria" w:hAnsi="Cambria"/>
                <w:color w:val="auto"/>
              </w:rPr>
            </w:pPr>
            <w:r>
              <w:rPr>
                <w:rFonts w:ascii="Cambria" w:hAnsi="Cambria"/>
                <w:color w:val="auto"/>
              </w:rPr>
              <w:t>Trusts</w:t>
            </w:r>
          </w:p>
        </w:tc>
      </w:tr>
      <w:tr w:rsidR="000F3218" w:rsidRPr="00B70DEF" w14:paraId="2E528E98" w14:textId="77777777" w:rsidTr="00797590">
        <w:tc>
          <w:tcPr>
            <w:tcW w:w="4531" w:type="dxa"/>
          </w:tcPr>
          <w:p w14:paraId="74724BE1" w14:textId="54C87B9B" w:rsidR="000F3218" w:rsidRPr="00B70DEF" w:rsidRDefault="000F3218" w:rsidP="000F3218">
            <w:pPr>
              <w:pStyle w:val="ListParagraph"/>
              <w:numPr>
                <w:ilvl w:val="0"/>
                <w:numId w:val="20"/>
              </w:numPr>
              <w:spacing w:before="60" w:after="60"/>
              <w:rPr>
                <w:rFonts w:ascii="Cambria" w:hAnsi="Cambria"/>
                <w:color w:val="auto"/>
              </w:rPr>
            </w:pPr>
            <w:r w:rsidRPr="00B70DEF">
              <w:rPr>
                <w:rFonts w:ascii="Cambria" w:hAnsi="Cambria"/>
                <w:color w:val="auto"/>
              </w:rPr>
              <w:t>Investment bond</w:t>
            </w:r>
            <w:r>
              <w:rPr>
                <w:rFonts w:ascii="Cambria" w:hAnsi="Cambria"/>
                <w:color w:val="auto"/>
              </w:rPr>
              <w:t>s</w:t>
            </w:r>
          </w:p>
        </w:tc>
        <w:tc>
          <w:tcPr>
            <w:tcW w:w="4536" w:type="dxa"/>
          </w:tcPr>
          <w:p w14:paraId="5FD5F631" w14:textId="09759A91" w:rsidR="000F3218" w:rsidRPr="00B70DEF" w:rsidRDefault="000F3218" w:rsidP="000F3218">
            <w:pPr>
              <w:pStyle w:val="ListParagraph"/>
              <w:numPr>
                <w:ilvl w:val="0"/>
                <w:numId w:val="20"/>
              </w:numPr>
              <w:spacing w:before="60" w:after="60"/>
              <w:rPr>
                <w:rFonts w:ascii="Cambria" w:hAnsi="Cambria"/>
                <w:color w:val="auto"/>
              </w:rPr>
            </w:pPr>
            <w:r>
              <w:rPr>
                <w:rFonts w:ascii="Cambria" w:hAnsi="Cambria"/>
                <w:color w:val="auto"/>
              </w:rPr>
              <w:t>I</w:t>
            </w:r>
            <w:r w:rsidR="001F61B8">
              <w:rPr>
                <w:rFonts w:ascii="Cambria" w:hAnsi="Cambria"/>
                <w:color w:val="auto"/>
              </w:rPr>
              <w:t>nheritance Tax</w:t>
            </w:r>
          </w:p>
        </w:tc>
      </w:tr>
      <w:tr w:rsidR="000F3218" w:rsidRPr="00B70DEF" w14:paraId="2401C6F7" w14:textId="77777777" w:rsidTr="00797590">
        <w:tc>
          <w:tcPr>
            <w:tcW w:w="4531" w:type="dxa"/>
          </w:tcPr>
          <w:p w14:paraId="30351A10" w14:textId="65313B3E" w:rsidR="000F3218" w:rsidRPr="00B70DEF" w:rsidRDefault="000F3218" w:rsidP="000F3218">
            <w:pPr>
              <w:pStyle w:val="ListParagraph"/>
              <w:numPr>
                <w:ilvl w:val="0"/>
                <w:numId w:val="20"/>
              </w:numPr>
              <w:spacing w:before="60" w:after="60"/>
              <w:rPr>
                <w:rFonts w:ascii="Cambria" w:hAnsi="Cambria"/>
                <w:color w:val="auto"/>
              </w:rPr>
            </w:pPr>
            <w:r w:rsidRPr="00B70DEF">
              <w:rPr>
                <w:rFonts w:ascii="Cambria" w:hAnsi="Cambria"/>
                <w:color w:val="auto"/>
              </w:rPr>
              <w:t>Pensions</w:t>
            </w:r>
          </w:p>
        </w:tc>
        <w:tc>
          <w:tcPr>
            <w:tcW w:w="4536" w:type="dxa"/>
          </w:tcPr>
          <w:p w14:paraId="00359E2D" w14:textId="2CD4442C" w:rsidR="000F3218" w:rsidRPr="00B70DEF" w:rsidRDefault="009141E3" w:rsidP="000F3218">
            <w:pPr>
              <w:pStyle w:val="ListParagraph"/>
              <w:numPr>
                <w:ilvl w:val="0"/>
                <w:numId w:val="20"/>
              </w:numPr>
              <w:spacing w:before="60" w:after="60"/>
              <w:rPr>
                <w:rFonts w:ascii="Cambria" w:hAnsi="Cambria"/>
                <w:color w:val="auto"/>
              </w:rPr>
            </w:pPr>
            <w:r w:rsidRPr="00B70DEF">
              <w:rPr>
                <w:rFonts w:ascii="Cambria" w:hAnsi="Cambria"/>
                <w:color w:val="auto"/>
              </w:rPr>
              <w:t>Structured products</w:t>
            </w:r>
          </w:p>
        </w:tc>
      </w:tr>
      <w:tr w:rsidR="000F3218" w:rsidRPr="00B70DEF" w14:paraId="5DD1B444" w14:textId="77777777" w:rsidTr="00797590">
        <w:tc>
          <w:tcPr>
            <w:tcW w:w="4531" w:type="dxa"/>
          </w:tcPr>
          <w:p w14:paraId="733AC86C" w14:textId="28AA28F3" w:rsidR="000F3218" w:rsidRPr="00B70DEF" w:rsidRDefault="000F3218" w:rsidP="000F3218">
            <w:pPr>
              <w:pStyle w:val="ListParagraph"/>
              <w:numPr>
                <w:ilvl w:val="0"/>
                <w:numId w:val="20"/>
              </w:numPr>
              <w:spacing w:before="60" w:after="60"/>
              <w:rPr>
                <w:rFonts w:ascii="Cambria" w:hAnsi="Cambria"/>
                <w:color w:val="auto"/>
              </w:rPr>
            </w:pPr>
            <w:r w:rsidRPr="00B70DEF">
              <w:rPr>
                <w:rFonts w:ascii="Cambria" w:hAnsi="Cambria"/>
                <w:color w:val="auto"/>
              </w:rPr>
              <w:t>Phased retirement &amp; income drawdown</w:t>
            </w:r>
          </w:p>
        </w:tc>
        <w:tc>
          <w:tcPr>
            <w:tcW w:w="4536" w:type="dxa"/>
          </w:tcPr>
          <w:p w14:paraId="3127C588" w14:textId="5B02DAA6" w:rsidR="000F3218" w:rsidRPr="00B70DEF" w:rsidRDefault="009141E3" w:rsidP="000F3218">
            <w:pPr>
              <w:pStyle w:val="ListParagraph"/>
              <w:numPr>
                <w:ilvl w:val="0"/>
                <w:numId w:val="20"/>
              </w:numPr>
              <w:spacing w:before="60" w:after="60"/>
              <w:rPr>
                <w:rFonts w:ascii="Cambria" w:hAnsi="Cambria"/>
                <w:color w:val="auto"/>
              </w:rPr>
            </w:pPr>
            <w:r w:rsidRPr="00B70DEF">
              <w:rPr>
                <w:rFonts w:ascii="Cambria" w:hAnsi="Cambria"/>
                <w:color w:val="auto"/>
              </w:rPr>
              <w:t>Structured deposits</w:t>
            </w:r>
          </w:p>
        </w:tc>
      </w:tr>
      <w:tr w:rsidR="000F3218" w:rsidRPr="00B70DEF" w14:paraId="3F602FF2" w14:textId="77777777" w:rsidTr="00797590">
        <w:tc>
          <w:tcPr>
            <w:tcW w:w="4531" w:type="dxa"/>
          </w:tcPr>
          <w:p w14:paraId="50FD87F1" w14:textId="62D8AA7C" w:rsidR="000F3218" w:rsidRPr="00B70DEF" w:rsidRDefault="000F3218" w:rsidP="000F3218">
            <w:pPr>
              <w:pStyle w:val="ListParagraph"/>
              <w:numPr>
                <w:ilvl w:val="0"/>
                <w:numId w:val="20"/>
              </w:numPr>
              <w:spacing w:before="60" w:after="60"/>
              <w:rPr>
                <w:rFonts w:ascii="Cambria" w:hAnsi="Cambria"/>
                <w:color w:val="auto"/>
              </w:rPr>
            </w:pPr>
            <w:r w:rsidRPr="00B70DEF">
              <w:rPr>
                <w:rFonts w:ascii="Cambria" w:hAnsi="Cambria"/>
                <w:color w:val="auto"/>
              </w:rPr>
              <w:t>Annuities</w:t>
            </w:r>
          </w:p>
        </w:tc>
        <w:tc>
          <w:tcPr>
            <w:tcW w:w="4536" w:type="dxa"/>
          </w:tcPr>
          <w:p w14:paraId="29551054" w14:textId="23245CDF" w:rsidR="000F3218" w:rsidRPr="00B70DEF" w:rsidRDefault="009141E3" w:rsidP="000F3218">
            <w:pPr>
              <w:pStyle w:val="ListParagraph"/>
              <w:numPr>
                <w:ilvl w:val="0"/>
                <w:numId w:val="20"/>
              </w:numPr>
              <w:spacing w:before="60" w:after="60"/>
              <w:rPr>
                <w:rFonts w:ascii="Cambria" w:hAnsi="Cambria"/>
                <w:color w:val="auto"/>
              </w:rPr>
            </w:pPr>
            <w:r w:rsidRPr="00B70DEF">
              <w:rPr>
                <w:rFonts w:ascii="Cambria" w:hAnsi="Cambria"/>
                <w:color w:val="auto"/>
              </w:rPr>
              <w:t>Long term care</w:t>
            </w:r>
          </w:p>
        </w:tc>
      </w:tr>
      <w:tr w:rsidR="000F3218" w:rsidRPr="00B70DEF" w14:paraId="420DF8F9" w14:textId="77777777" w:rsidTr="00797590">
        <w:tc>
          <w:tcPr>
            <w:tcW w:w="4531" w:type="dxa"/>
          </w:tcPr>
          <w:p w14:paraId="681C310D" w14:textId="2A2CB2B6" w:rsidR="000F3218" w:rsidRPr="00B70DEF" w:rsidRDefault="000F3218" w:rsidP="000F3218">
            <w:pPr>
              <w:pStyle w:val="ListParagraph"/>
              <w:numPr>
                <w:ilvl w:val="0"/>
                <w:numId w:val="20"/>
              </w:numPr>
              <w:spacing w:before="60" w:after="60"/>
              <w:rPr>
                <w:rFonts w:ascii="Cambria" w:hAnsi="Cambria"/>
                <w:color w:val="auto"/>
              </w:rPr>
            </w:pPr>
            <w:r w:rsidRPr="00B70DEF">
              <w:rPr>
                <w:rFonts w:ascii="Cambria" w:hAnsi="Cambria"/>
                <w:color w:val="auto"/>
              </w:rPr>
              <w:t>Life assurance</w:t>
            </w:r>
          </w:p>
        </w:tc>
        <w:tc>
          <w:tcPr>
            <w:tcW w:w="4536" w:type="dxa"/>
          </w:tcPr>
          <w:p w14:paraId="1C92AD45" w14:textId="19A6B6F4" w:rsidR="000F3218" w:rsidRPr="00B70DEF" w:rsidRDefault="009141E3" w:rsidP="000F3218">
            <w:pPr>
              <w:pStyle w:val="ListParagraph"/>
              <w:numPr>
                <w:ilvl w:val="0"/>
                <w:numId w:val="20"/>
              </w:numPr>
              <w:spacing w:before="60" w:after="60"/>
              <w:rPr>
                <w:rFonts w:ascii="Cambria" w:hAnsi="Cambria"/>
                <w:color w:val="auto"/>
              </w:rPr>
            </w:pPr>
            <w:r>
              <w:rPr>
                <w:rFonts w:ascii="Cambria" w:hAnsi="Cambria"/>
                <w:color w:val="auto"/>
              </w:rPr>
              <w:t>Residential mortgages</w:t>
            </w:r>
          </w:p>
        </w:tc>
      </w:tr>
      <w:tr w:rsidR="000F3218" w:rsidRPr="00B70DEF" w14:paraId="3909DF4F" w14:textId="77777777" w:rsidTr="00797590">
        <w:tc>
          <w:tcPr>
            <w:tcW w:w="4531" w:type="dxa"/>
          </w:tcPr>
          <w:p w14:paraId="2D15382F" w14:textId="2F2F608D" w:rsidR="000F3218" w:rsidRPr="00B70DEF" w:rsidRDefault="000F3218" w:rsidP="000F3218">
            <w:pPr>
              <w:pStyle w:val="ListParagraph"/>
              <w:numPr>
                <w:ilvl w:val="0"/>
                <w:numId w:val="20"/>
              </w:numPr>
              <w:spacing w:before="60" w:after="60"/>
              <w:rPr>
                <w:rFonts w:ascii="Cambria" w:hAnsi="Cambria"/>
                <w:color w:val="auto"/>
              </w:rPr>
            </w:pPr>
            <w:r w:rsidRPr="00B70DEF">
              <w:rPr>
                <w:rFonts w:ascii="Cambria" w:hAnsi="Cambria"/>
                <w:color w:val="auto"/>
              </w:rPr>
              <w:t>Critical illness cover</w:t>
            </w:r>
          </w:p>
        </w:tc>
        <w:tc>
          <w:tcPr>
            <w:tcW w:w="4536" w:type="dxa"/>
          </w:tcPr>
          <w:p w14:paraId="221920BE" w14:textId="0707D80F" w:rsidR="000F3218" w:rsidRPr="0021110F" w:rsidRDefault="009141E3" w:rsidP="000F3218">
            <w:pPr>
              <w:pStyle w:val="ListParagraph"/>
              <w:numPr>
                <w:ilvl w:val="0"/>
                <w:numId w:val="20"/>
              </w:numPr>
              <w:spacing w:before="60" w:after="60"/>
              <w:rPr>
                <w:rFonts w:ascii="Cambria" w:hAnsi="Cambria"/>
                <w:color w:val="auto"/>
              </w:rPr>
            </w:pPr>
            <w:r>
              <w:rPr>
                <w:rFonts w:ascii="Cambria" w:hAnsi="Cambria"/>
                <w:color w:val="auto"/>
              </w:rPr>
              <w:t>Buy-to-let &amp; commercial mortgages</w:t>
            </w:r>
          </w:p>
        </w:tc>
      </w:tr>
      <w:tr w:rsidR="000F3218" w:rsidRPr="00B70DEF" w14:paraId="6048D10A" w14:textId="77777777" w:rsidTr="00797590">
        <w:tc>
          <w:tcPr>
            <w:tcW w:w="4531" w:type="dxa"/>
          </w:tcPr>
          <w:p w14:paraId="0B549266" w14:textId="2635353C" w:rsidR="000F3218" w:rsidRPr="00B70DEF" w:rsidRDefault="000F3218" w:rsidP="000F3218">
            <w:pPr>
              <w:pStyle w:val="ListParagraph"/>
              <w:numPr>
                <w:ilvl w:val="0"/>
                <w:numId w:val="20"/>
              </w:numPr>
              <w:spacing w:before="60" w:after="60"/>
              <w:rPr>
                <w:rFonts w:ascii="Cambria" w:hAnsi="Cambria"/>
                <w:color w:val="auto"/>
              </w:rPr>
            </w:pPr>
            <w:r w:rsidRPr="00B70DEF">
              <w:rPr>
                <w:rFonts w:ascii="Cambria" w:hAnsi="Cambria"/>
                <w:color w:val="auto"/>
              </w:rPr>
              <w:t>Income protection</w:t>
            </w:r>
          </w:p>
        </w:tc>
        <w:tc>
          <w:tcPr>
            <w:tcW w:w="4536" w:type="dxa"/>
          </w:tcPr>
          <w:p w14:paraId="46810FD2" w14:textId="0EE43C5E" w:rsidR="000F3218" w:rsidRPr="00B70DEF" w:rsidRDefault="009141E3" w:rsidP="000F3218">
            <w:pPr>
              <w:pStyle w:val="ListParagraph"/>
              <w:numPr>
                <w:ilvl w:val="0"/>
                <w:numId w:val="20"/>
              </w:numPr>
              <w:spacing w:before="60" w:after="60"/>
              <w:rPr>
                <w:rFonts w:ascii="Cambria" w:hAnsi="Cambria"/>
                <w:color w:val="auto"/>
              </w:rPr>
            </w:pPr>
            <w:r>
              <w:rPr>
                <w:rFonts w:ascii="Cambria" w:hAnsi="Cambria"/>
                <w:color w:val="auto"/>
              </w:rPr>
              <w:t xml:space="preserve">Equity Release </w:t>
            </w:r>
          </w:p>
        </w:tc>
      </w:tr>
    </w:tbl>
    <w:p w14:paraId="6CA51A36" w14:textId="77777777" w:rsidR="005C69D1" w:rsidRDefault="005C69D1" w:rsidP="00680CD0">
      <w:pPr>
        <w:autoSpaceDE w:val="0"/>
        <w:autoSpaceDN w:val="0"/>
        <w:adjustRightInd w:val="0"/>
        <w:spacing w:line="240" w:lineRule="auto"/>
        <w:rPr>
          <w:rFonts w:ascii="Cambria" w:hAnsi="Cambria"/>
          <w:color w:val="auto"/>
        </w:rPr>
      </w:pPr>
    </w:p>
    <w:p w14:paraId="4AC89BB6" w14:textId="133ED604" w:rsidR="00680CD0" w:rsidRPr="00B70DEF" w:rsidRDefault="00680CD0" w:rsidP="00680CD0">
      <w:pPr>
        <w:autoSpaceDE w:val="0"/>
        <w:autoSpaceDN w:val="0"/>
        <w:adjustRightInd w:val="0"/>
        <w:spacing w:line="240" w:lineRule="auto"/>
        <w:rPr>
          <w:rFonts w:ascii="Cambria" w:hAnsi="Cambria"/>
          <w:color w:val="auto"/>
        </w:rPr>
      </w:pPr>
      <w:r w:rsidRPr="00B70DEF">
        <w:rPr>
          <w:rFonts w:ascii="Cambria" w:hAnsi="Cambria"/>
          <w:color w:val="auto"/>
        </w:rPr>
        <w:t>We don’t provide advice in relation to individual share holdings. If this is something you need assistance with, we can refer you to a stockbroker.  Nor do we provide advice on options, futures and other derivative contracts.</w:t>
      </w:r>
    </w:p>
    <w:p w14:paraId="5410432E" w14:textId="77777777" w:rsidR="0084343E" w:rsidRDefault="00680CD0" w:rsidP="00680CD0">
      <w:pPr>
        <w:autoSpaceDE w:val="0"/>
        <w:autoSpaceDN w:val="0"/>
        <w:adjustRightInd w:val="0"/>
        <w:spacing w:line="240" w:lineRule="auto"/>
        <w:rPr>
          <w:rFonts w:ascii="Cambria" w:hAnsi="Cambria"/>
          <w:color w:val="auto"/>
        </w:rPr>
      </w:pPr>
      <w:r w:rsidRPr="00B70DEF">
        <w:rPr>
          <w:rFonts w:ascii="Cambria" w:eastAsia="Calibri" w:hAnsi="Cambria" w:cs="Times New Roman"/>
          <w:color w:val="auto"/>
          <w:lang w:eastAsia="en-GB"/>
        </w:rPr>
        <w:lastRenderedPageBreak/>
        <w:t>Where we provide protection planning services we are an insurance intermediary and will provide advice which is based on a fair and personal analysis of the market.</w:t>
      </w:r>
      <w:r w:rsidRPr="00B70DEF">
        <w:rPr>
          <w:rFonts w:ascii="Cambria" w:hAnsi="Cambria"/>
          <w:color w:val="auto"/>
        </w:rPr>
        <w:t xml:space="preserve"> </w:t>
      </w:r>
      <w:r w:rsidR="0084343E">
        <w:rPr>
          <w:rFonts w:ascii="Cambria" w:hAnsi="Cambria"/>
          <w:color w:val="auto"/>
        </w:rPr>
        <w:t xml:space="preserve"> </w:t>
      </w:r>
    </w:p>
    <w:p w14:paraId="3E1C7EFB" w14:textId="4EB077A3" w:rsidR="00BA3983" w:rsidRDefault="000D0B6A" w:rsidP="00680CD0">
      <w:pPr>
        <w:pStyle w:val="NumberedHeading1"/>
        <w:numPr>
          <w:ilvl w:val="0"/>
          <w:numId w:val="0"/>
        </w:numPr>
        <w:rPr>
          <w:rFonts w:ascii="Cambria" w:hAnsi="Cambria"/>
          <w:color w:val="auto"/>
          <w:lang w:val="en-GB"/>
        </w:rPr>
      </w:pPr>
      <w:r>
        <w:rPr>
          <w:rFonts w:ascii="Cambria" w:hAnsi="Cambria"/>
          <w:color w:val="auto"/>
          <w:lang w:val="en-GB"/>
        </w:rPr>
        <w:t>O</w:t>
      </w:r>
      <w:r w:rsidR="00BA3983" w:rsidRPr="00B70DEF">
        <w:rPr>
          <w:rFonts w:ascii="Cambria" w:hAnsi="Cambria"/>
          <w:color w:val="auto"/>
          <w:lang w:val="en-GB"/>
        </w:rPr>
        <w:t xml:space="preserve">ur </w:t>
      </w:r>
      <w:r w:rsidR="0009395A" w:rsidRPr="00B70DEF">
        <w:rPr>
          <w:rFonts w:ascii="Cambria" w:hAnsi="Cambria"/>
          <w:color w:val="auto"/>
          <w:lang w:val="en-GB"/>
        </w:rPr>
        <w:t>S</w:t>
      </w:r>
      <w:r w:rsidR="00BA3983" w:rsidRPr="00B70DEF">
        <w:rPr>
          <w:rFonts w:ascii="Cambria" w:hAnsi="Cambria"/>
          <w:color w:val="auto"/>
          <w:lang w:val="en-GB"/>
        </w:rPr>
        <w:t>ervices</w:t>
      </w:r>
    </w:p>
    <w:p w14:paraId="1E305C3A" w14:textId="5BD91A2B" w:rsidR="00B70DEF" w:rsidRPr="00B70DEF" w:rsidRDefault="00F43345" w:rsidP="00B70DEF">
      <w:pPr>
        <w:pStyle w:val="NoSpacing"/>
        <w:rPr>
          <w:rFonts w:ascii="Cambria" w:hAnsi="Cambria"/>
        </w:rPr>
      </w:pPr>
      <w:r>
        <w:rPr>
          <w:rFonts w:ascii="Cambria" w:eastAsia="Calibri" w:hAnsi="Cambria" w:cs="Times New Roman"/>
          <w:lang w:eastAsia="en-GB"/>
        </w:rPr>
        <w:t xml:space="preserve">Our services divide into </w:t>
      </w:r>
      <w:r w:rsidR="00AF5F69">
        <w:rPr>
          <w:rFonts w:ascii="Cambria" w:eastAsia="Calibri" w:hAnsi="Cambria" w:cs="Times New Roman"/>
          <w:lang w:eastAsia="en-GB"/>
        </w:rPr>
        <w:t>3</w:t>
      </w:r>
      <w:r w:rsidR="00B70DEF" w:rsidRPr="00B70DEF">
        <w:rPr>
          <w:rFonts w:ascii="Cambria" w:eastAsia="Calibri" w:hAnsi="Cambria" w:cs="Times New Roman"/>
          <w:lang w:eastAsia="en-GB"/>
        </w:rPr>
        <w:t xml:space="preserve"> categories:</w:t>
      </w:r>
    </w:p>
    <w:p w14:paraId="404EE035" w14:textId="77777777" w:rsidR="00B70DEF" w:rsidRPr="00B70DEF" w:rsidRDefault="00B70DEF" w:rsidP="00B70DEF">
      <w:pPr>
        <w:pStyle w:val="NoSpacing"/>
        <w:rPr>
          <w:rFonts w:ascii="Cambria" w:hAnsi="Cambria"/>
        </w:rPr>
      </w:pPr>
    </w:p>
    <w:p w14:paraId="2CFC2181" w14:textId="77777777" w:rsidR="00B70DEF" w:rsidRPr="00B70DEF" w:rsidRDefault="00B70DEF" w:rsidP="00B70DEF">
      <w:pPr>
        <w:pStyle w:val="NoSpacing"/>
        <w:numPr>
          <w:ilvl w:val="0"/>
          <w:numId w:val="28"/>
        </w:numPr>
        <w:rPr>
          <w:rFonts w:ascii="Cambria" w:hAnsi="Cambria"/>
          <w:b/>
        </w:rPr>
      </w:pPr>
      <w:r w:rsidRPr="00B70DEF">
        <w:rPr>
          <w:rFonts w:ascii="Cambria" w:hAnsi="Cambria"/>
          <w:b/>
        </w:rPr>
        <w:t>Financial Planning (Including Cashflow Analysis)</w:t>
      </w:r>
    </w:p>
    <w:p w14:paraId="5F9E19F1" w14:textId="77777777" w:rsidR="00B70DEF" w:rsidRPr="00B70DEF" w:rsidRDefault="00B70DEF" w:rsidP="00B70DEF">
      <w:pPr>
        <w:pStyle w:val="NoSpacing"/>
        <w:ind w:left="360"/>
        <w:rPr>
          <w:rFonts w:ascii="Cambria" w:hAnsi="Cambria"/>
        </w:rPr>
      </w:pPr>
    </w:p>
    <w:p w14:paraId="4F5628B6" w14:textId="3E3275BE" w:rsidR="00B70DEF" w:rsidRPr="00B70DEF" w:rsidRDefault="00B70DEF" w:rsidP="00B70DEF">
      <w:pPr>
        <w:pStyle w:val="NoSpacing"/>
        <w:ind w:left="720"/>
        <w:rPr>
          <w:rFonts w:ascii="Cambria" w:hAnsi="Cambria"/>
        </w:rPr>
      </w:pPr>
      <w:r w:rsidRPr="00B70DEF">
        <w:rPr>
          <w:rFonts w:ascii="Cambria" w:hAnsi="Cambria"/>
        </w:rPr>
        <w:t xml:space="preserve">Our </w:t>
      </w:r>
      <w:r w:rsidR="0021110F">
        <w:rPr>
          <w:rFonts w:ascii="Cambria" w:hAnsi="Cambria"/>
        </w:rPr>
        <w:t>Financial</w:t>
      </w:r>
      <w:r w:rsidRPr="00B70DEF">
        <w:rPr>
          <w:rFonts w:ascii="Cambria" w:hAnsi="Cambria"/>
        </w:rPr>
        <w:t xml:space="preserve"> </w:t>
      </w:r>
      <w:r w:rsidR="0021110F">
        <w:rPr>
          <w:rFonts w:ascii="Cambria" w:hAnsi="Cambria"/>
        </w:rPr>
        <w:t>Planning</w:t>
      </w:r>
      <w:r w:rsidRPr="00B70DEF">
        <w:rPr>
          <w:rFonts w:ascii="Cambria" w:hAnsi="Cambria"/>
        </w:rPr>
        <w:t xml:space="preserve"> service will provide a written report which will examine your financial situation, project your future cashflow using various assumptions, and make suggestions as to the appropriate strategy to meet your future needs and requirements, but it will not make specific recommendations for products or investments. </w:t>
      </w:r>
    </w:p>
    <w:p w14:paraId="3764B91E" w14:textId="77777777" w:rsidR="00B70DEF" w:rsidRPr="00B70DEF" w:rsidRDefault="00B70DEF" w:rsidP="00B70DEF">
      <w:pPr>
        <w:pStyle w:val="NoSpacing"/>
        <w:ind w:left="360"/>
        <w:rPr>
          <w:rFonts w:ascii="Cambria" w:hAnsi="Cambria"/>
        </w:rPr>
      </w:pPr>
    </w:p>
    <w:p w14:paraId="2E1E7610" w14:textId="77777777" w:rsidR="00B70DEF" w:rsidRPr="00B70DEF" w:rsidRDefault="00B70DEF" w:rsidP="00B70DEF">
      <w:pPr>
        <w:pStyle w:val="NoSpacing"/>
        <w:numPr>
          <w:ilvl w:val="0"/>
          <w:numId w:val="28"/>
        </w:numPr>
        <w:rPr>
          <w:rFonts w:ascii="Cambria" w:hAnsi="Cambria"/>
          <w:b/>
        </w:rPr>
      </w:pPr>
      <w:r w:rsidRPr="00B70DEF">
        <w:rPr>
          <w:rFonts w:ascii="Cambria" w:hAnsi="Cambria"/>
          <w:b/>
        </w:rPr>
        <w:t>Implementation</w:t>
      </w:r>
    </w:p>
    <w:p w14:paraId="61A40632" w14:textId="77777777" w:rsidR="00B70DEF" w:rsidRPr="00B70DEF" w:rsidRDefault="00B70DEF" w:rsidP="00B70DEF">
      <w:pPr>
        <w:pStyle w:val="NoSpacing"/>
        <w:rPr>
          <w:rFonts w:ascii="Cambria" w:hAnsi="Cambria"/>
        </w:rPr>
      </w:pPr>
    </w:p>
    <w:p w14:paraId="6C8EA9D1" w14:textId="673A524A" w:rsidR="00B70DEF" w:rsidRPr="00B70DEF" w:rsidRDefault="00B70DEF" w:rsidP="00B70DEF">
      <w:pPr>
        <w:pStyle w:val="NoSpacing"/>
        <w:ind w:left="720"/>
        <w:rPr>
          <w:rFonts w:ascii="Cambria" w:hAnsi="Cambria"/>
        </w:rPr>
      </w:pPr>
      <w:r w:rsidRPr="00B70DEF">
        <w:rPr>
          <w:rFonts w:ascii="Cambria" w:hAnsi="Cambria"/>
        </w:rPr>
        <w:t>This service will make specific recommendations for financial products and/or inves</w:t>
      </w:r>
      <w:r w:rsidR="00AE67DB">
        <w:rPr>
          <w:rFonts w:ascii="Cambria" w:hAnsi="Cambria"/>
        </w:rPr>
        <w:t xml:space="preserve">tments required to implement </w:t>
      </w:r>
      <w:r w:rsidRPr="00B70DEF">
        <w:rPr>
          <w:rFonts w:ascii="Cambria" w:hAnsi="Cambria"/>
        </w:rPr>
        <w:t>the Financial Planning strategy and, if the recommendations are accepted, will process the paperwork to implement the recommendations.</w:t>
      </w:r>
    </w:p>
    <w:p w14:paraId="3815A838" w14:textId="77777777" w:rsidR="00B70DEF" w:rsidRPr="00B70DEF" w:rsidRDefault="00B70DEF" w:rsidP="00B70DEF">
      <w:pPr>
        <w:pStyle w:val="NoSpacing"/>
        <w:ind w:left="360"/>
        <w:rPr>
          <w:rFonts w:ascii="Cambria" w:hAnsi="Cambria"/>
        </w:rPr>
      </w:pPr>
    </w:p>
    <w:p w14:paraId="31E33866" w14:textId="77777777" w:rsidR="00B70DEF" w:rsidRPr="00B70DEF" w:rsidRDefault="00B70DEF" w:rsidP="00B70DEF">
      <w:pPr>
        <w:pStyle w:val="NoSpacing"/>
        <w:numPr>
          <w:ilvl w:val="0"/>
          <w:numId w:val="28"/>
        </w:numPr>
        <w:rPr>
          <w:rFonts w:ascii="Cambria" w:hAnsi="Cambria"/>
          <w:b/>
        </w:rPr>
      </w:pPr>
      <w:r w:rsidRPr="00B70DEF">
        <w:rPr>
          <w:rFonts w:ascii="Cambria" w:hAnsi="Cambria"/>
          <w:b/>
        </w:rPr>
        <w:t>Servicing</w:t>
      </w:r>
    </w:p>
    <w:p w14:paraId="74F7628A" w14:textId="77777777" w:rsidR="00B70DEF" w:rsidRPr="00B70DEF" w:rsidRDefault="00B70DEF" w:rsidP="00B70DEF">
      <w:pPr>
        <w:pStyle w:val="NoSpacing"/>
        <w:rPr>
          <w:rFonts w:ascii="Cambria" w:hAnsi="Cambria"/>
        </w:rPr>
      </w:pPr>
    </w:p>
    <w:p w14:paraId="518C3EE5" w14:textId="77777777" w:rsidR="00B70DEF" w:rsidRPr="00B70DEF" w:rsidRDefault="00B70DEF" w:rsidP="00B70DEF">
      <w:pPr>
        <w:pStyle w:val="NoSpacing"/>
        <w:numPr>
          <w:ilvl w:val="0"/>
          <w:numId w:val="29"/>
        </w:numPr>
        <w:rPr>
          <w:rFonts w:ascii="Cambria" w:hAnsi="Cambria"/>
        </w:rPr>
      </w:pPr>
      <w:r w:rsidRPr="00B70DEF">
        <w:rPr>
          <w:rFonts w:ascii="Cambria" w:hAnsi="Cambria"/>
        </w:rPr>
        <w:t>Financial Planning Servicing:  This will provide an annual update to your financial plan, amending and adapting as time goes by so that you have a clearer idea of your projected retirement income.</w:t>
      </w:r>
    </w:p>
    <w:p w14:paraId="0C55AD4A" w14:textId="77777777" w:rsidR="00B70DEF" w:rsidRPr="00B70DEF" w:rsidRDefault="00B70DEF" w:rsidP="00B70DEF">
      <w:pPr>
        <w:pStyle w:val="NoSpacing"/>
        <w:ind w:left="1800"/>
        <w:rPr>
          <w:rFonts w:ascii="Cambria" w:hAnsi="Cambria"/>
        </w:rPr>
      </w:pPr>
    </w:p>
    <w:p w14:paraId="79703660" w14:textId="24B5C3C0" w:rsidR="00985C36" w:rsidRPr="00EF2436" w:rsidRDefault="00B70DEF" w:rsidP="00F1757A">
      <w:pPr>
        <w:pStyle w:val="NoSpacing"/>
        <w:numPr>
          <w:ilvl w:val="0"/>
          <w:numId w:val="29"/>
        </w:numPr>
        <w:rPr>
          <w:rFonts w:ascii="Cambria" w:hAnsi="Cambria"/>
        </w:rPr>
      </w:pPr>
      <w:r w:rsidRPr="00EF2436">
        <w:rPr>
          <w:rFonts w:ascii="Cambria" w:hAnsi="Cambria"/>
        </w:rPr>
        <w:t xml:space="preserve">Investment Portfolio Servicing:  This will provide an annual report detailing asset allocation, risk profile, investment performance; recommendations for changes of funds, wrappers (such as ISAs or pensions), Capital Gains issues and all other matters relating to the investment of your money.  </w:t>
      </w:r>
      <w:r w:rsidR="00EF2436" w:rsidRPr="00EF2436">
        <w:rPr>
          <w:rFonts w:ascii="Cambria" w:hAnsi="Cambria"/>
        </w:rPr>
        <w:t>Where we recommend the use of an external Discretionary Fund Manager (DFM) we will issue an annual report which will cover overall returns and general suitability.</w:t>
      </w:r>
    </w:p>
    <w:p w14:paraId="451E24DA" w14:textId="3078A40D" w:rsidR="00B54C47" w:rsidRPr="00B70DEF" w:rsidRDefault="00B70DEF" w:rsidP="00B70DEF">
      <w:pPr>
        <w:pStyle w:val="NumberedHeading1"/>
        <w:numPr>
          <w:ilvl w:val="0"/>
          <w:numId w:val="0"/>
        </w:numPr>
        <w:rPr>
          <w:rFonts w:ascii="Cambria" w:hAnsi="Cambria"/>
          <w:color w:val="auto"/>
        </w:rPr>
      </w:pPr>
      <w:r>
        <w:rPr>
          <w:rFonts w:ascii="Cambria" w:hAnsi="Cambria"/>
          <w:color w:val="auto"/>
        </w:rPr>
        <w:t xml:space="preserve">Our </w:t>
      </w:r>
      <w:r w:rsidRPr="00B70DEF">
        <w:rPr>
          <w:rFonts w:ascii="Cambria" w:hAnsi="Cambria"/>
          <w:color w:val="auto"/>
        </w:rPr>
        <w:t>Charges</w:t>
      </w:r>
    </w:p>
    <w:p w14:paraId="3C8F8584" w14:textId="20DD9C80" w:rsidR="00B70DEF" w:rsidRPr="00B70DEF" w:rsidRDefault="00B70DEF" w:rsidP="00B70DEF">
      <w:pPr>
        <w:pStyle w:val="NoSpacing"/>
        <w:rPr>
          <w:rFonts w:ascii="Cambria" w:hAnsi="Cambria"/>
        </w:rPr>
      </w:pPr>
      <w:r w:rsidRPr="00B70DEF">
        <w:rPr>
          <w:rFonts w:ascii="Cambria" w:hAnsi="Cambria"/>
        </w:rPr>
        <w:t>Fees for the services described above are as follows:</w:t>
      </w:r>
    </w:p>
    <w:p w14:paraId="50CC203B" w14:textId="77777777" w:rsidR="00B70DEF" w:rsidRPr="00B70DEF" w:rsidRDefault="00B70DEF" w:rsidP="00B70DEF">
      <w:pPr>
        <w:pStyle w:val="NoSpacing"/>
        <w:rPr>
          <w:rFonts w:ascii="Cambria" w:hAnsi="Cambria"/>
        </w:rPr>
      </w:pPr>
    </w:p>
    <w:p w14:paraId="60F65AEE" w14:textId="4D84877D" w:rsidR="00B70DEF" w:rsidRDefault="00B70DEF" w:rsidP="00B70DEF">
      <w:pPr>
        <w:pStyle w:val="NoSpacing"/>
        <w:rPr>
          <w:rFonts w:ascii="Cambria" w:hAnsi="Cambria"/>
        </w:rPr>
      </w:pPr>
      <w:r w:rsidRPr="00B70DEF">
        <w:rPr>
          <w:rFonts w:ascii="Cambria" w:hAnsi="Cambria"/>
          <w:b/>
        </w:rPr>
        <w:t>Financial Planning</w:t>
      </w:r>
      <w:r w:rsidR="00A62BBB">
        <w:rPr>
          <w:rFonts w:ascii="Cambria" w:hAnsi="Cambria"/>
          <w:b/>
        </w:rPr>
        <w:t xml:space="preserve">   </w:t>
      </w:r>
      <w:r w:rsidR="00A62BBB">
        <w:rPr>
          <w:rFonts w:ascii="Cambria" w:hAnsi="Cambria"/>
        </w:rPr>
        <w:tab/>
      </w:r>
      <w:r w:rsidR="00B54C47">
        <w:rPr>
          <w:rFonts w:ascii="Cambria" w:hAnsi="Cambria"/>
        </w:rPr>
        <w:t>£1,</w:t>
      </w:r>
      <w:r w:rsidR="000C2951">
        <w:rPr>
          <w:rFonts w:ascii="Cambria" w:hAnsi="Cambria"/>
        </w:rPr>
        <w:t>0</w:t>
      </w:r>
      <w:r w:rsidR="00B54C47">
        <w:rPr>
          <w:rFonts w:ascii="Cambria" w:hAnsi="Cambria"/>
        </w:rPr>
        <w:t xml:space="preserve">00 to </w:t>
      </w:r>
      <w:r w:rsidR="00A62BBB">
        <w:rPr>
          <w:rFonts w:ascii="Cambria" w:hAnsi="Cambria"/>
        </w:rPr>
        <w:t>£2,0</w:t>
      </w:r>
      <w:r w:rsidRPr="00B70DEF">
        <w:rPr>
          <w:rFonts w:ascii="Cambria" w:hAnsi="Cambria"/>
        </w:rPr>
        <w:t>00</w:t>
      </w:r>
      <w:r w:rsidR="00B54C47">
        <w:rPr>
          <w:rFonts w:ascii="Cambria" w:hAnsi="Cambria"/>
        </w:rPr>
        <w:t xml:space="preserve"> depending on complexity</w:t>
      </w:r>
    </w:p>
    <w:p w14:paraId="63B14FA9" w14:textId="77777777" w:rsidR="00A62BBB" w:rsidRPr="00B70DEF" w:rsidRDefault="00A62BBB" w:rsidP="00B70DEF">
      <w:pPr>
        <w:pStyle w:val="NoSpacing"/>
        <w:rPr>
          <w:rFonts w:ascii="Cambria" w:hAnsi="Cambria"/>
        </w:rPr>
      </w:pPr>
    </w:p>
    <w:p w14:paraId="660B4C40" w14:textId="77777777" w:rsidR="00B70DEF" w:rsidRPr="00B70DEF" w:rsidRDefault="00B70DEF" w:rsidP="00B70DEF">
      <w:pPr>
        <w:pStyle w:val="NoSpacing"/>
        <w:rPr>
          <w:rFonts w:ascii="Cambria" w:hAnsi="Cambria"/>
          <w:b/>
        </w:rPr>
      </w:pPr>
      <w:r w:rsidRPr="00B70DEF">
        <w:rPr>
          <w:rFonts w:ascii="Cambria" w:hAnsi="Cambria"/>
          <w:b/>
        </w:rPr>
        <w:t>Implementation</w:t>
      </w:r>
    </w:p>
    <w:p w14:paraId="5A7933C0" w14:textId="77777777" w:rsidR="00B70DEF" w:rsidRPr="00B70DEF" w:rsidRDefault="00B70DEF" w:rsidP="00B70DEF">
      <w:pPr>
        <w:pStyle w:val="NoSpacing"/>
        <w:rPr>
          <w:rFonts w:ascii="Cambria" w:hAnsi="Cambria"/>
        </w:rPr>
      </w:pPr>
    </w:p>
    <w:p w14:paraId="3AA03E84" w14:textId="77777777" w:rsidR="00B70DEF" w:rsidRPr="00B70DEF" w:rsidRDefault="00B70DEF" w:rsidP="00B70DEF">
      <w:pPr>
        <w:pStyle w:val="NoSpacing"/>
        <w:rPr>
          <w:rFonts w:ascii="Cambria" w:hAnsi="Cambria"/>
          <w:i/>
        </w:rPr>
      </w:pPr>
      <w:r w:rsidRPr="00B70DEF">
        <w:rPr>
          <w:rFonts w:ascii="Cambria" w:hAnsi="Cambria"/>
        </w:rPr>
        <w:tab/>
      </w:r>
      <w:r w:rsidRPr="00B70DEF">
        <w:rPr>
          <w:rFonts w:ascii="Cambria" w:hAnsi="Cambria"/>
          <w:i/>
        </w:rPr>
        <w:t>Pensions and Investments:</w:t>
      </w:r>
    </w:p>
    <w:p w14:paraId="308B1DC1" w14:textId="77777777" w:rsidR="00B70DEF" w:rsidRPr="00B70DEF" w:rsidRDefault="00B70DEF" w:rsidP="00B70DEF">
      <w:pPr>
        <w:pStyle w:val="NoSpacing"/>
        <w:rPr>
          <w:rFonts w:ascii="Cambria" w:hAnsi="Cambria"/>
        </w:rPr>
      </w:pPr>
    </w:p>
    <w:p w14:paraId="5295DC1D" w14:textId="1DA376BC" w:rsidR="00B70DEF" w:rsidRPr="00B70DEF" w:rsidRDefault="00B70DEF" w:rsidP="00B70DEF">
      <w:pPr>
        <w:pStyle w:val="NoSpacing"/>
        <w:rPr>
          <w:rFonts w:ascii="Cambria" w:hAnsi="Cambria"/>
          <w:b/>
          <w:i/>
          <w:szCs w:val="24"/>
        </w:rPr>
      </w:pPr>
      <w:r w:rsidRPr="00B70DEF">
        <w:rPr>
          <w:rFonts w:ascii="Cambria" w:hAnsi="Cambria"/>
        </w:rPr>
        <w:tab/>
      </w:r>
      <w:r w:rsidRPr="00B70DEF">
        <w:rPr>
          <w:rFonts w:ascii="Cambria" w:hAnsi="Cambria"/>
        </w:rPr>
        <w:tab/>
      </w:r>
      <w:r w:rsidR="00812125">
        <w:rPr>
          <w:rFonts w:ascii="Cambria" w:hAnsi="Cambria"/>
        </w:rPr>
        <w:tab/>
      </w:r>
      <w:r w:rsidRPr="00B70DEF">
        <w:rPr>
          <w:rFonts w:ascii="Cambria" w:hAnsi="Cambria"/>
          <w:b/>
          <w:i/>
          <w:szCs w:val="24"/>
        </w:rPr>
        <w:t>Portfolio Value</w:t>
      </w:r>
      <w:r w:rsidRPr="00B70DEF">
        <w:rPr>
          <w:rFonts w:ascii="Cambria" w:hAnsi="Cambria"/>
          <w:i/>
          <w:szCs w:val="24"/>
        </w:rPr>
        <w:t xml:space="preserve">                   </w:t>
      </w:r>
      <w:r w:rsidRPr="00B70DEF">
        <w:rPr>
          <w:rFonts w:ascii="Cambria" w:hAnsi="Cambria"/>
          <w:i/>
          <w:szCs w:val="24"/>
        </w:rPr>
        <w:tab/>
        <w:t xml:space="preserve">        </w:t>
      </w:r>
      <w:r w:rsidRPr="00B70DEF">
        <w:rPr>
          <w:rFonts w:ascii="Cambria" w:hAnsi="Cambria"/>
          <w:b/>
          <w:i/>
          <w:szCs w:val="24"/>
        </w:rPr>
        <w:t>Initial Fee</w:t>
      </w:r>
    </w:p>
    <w:p w14:paraId="5C940FE7" w14:textId="77777777" w:rsidR="00B70DEF" w:rsidRPr="00B70DEF" w:rsidRDefault="00B70DEF" w:rsidP="00812125">
      <w:pPr>
        <w:pStyle w:val="NoSpacing"/>
        <w:ind w:left="1440" w:firstLine="720"/>
        <w:rPr>
          <w:rFonts w:ascii="Cambria" w:hAnsi="Cambria"/>
          <w:szCs w:val="24"/>
        </w:rPr>
      </w:pPr>
      <w:r w:rsidRPr="00B70DEF">
        <w:rPr>
          <w:rFonts w:ascii="Cambria" w:hAnsi="Cambria"/>
          <w:szCs w:val="24"/>
        </w:rPr>
        <w:t>£0 - £100,000</w:t>
      </w:r>
      <w:r w:rsidRPr="00B70DEF">
        <w:rPr>
          <w:rFonts w:ascii="Cambria" w:hAnsi="Cambria"/>
          <w:szCs w:val="24"/>
        </w:rPr>
        <w:tab/>
      </w:r>
      <w:r w:rsidRPr="00B70DEF">
        <w:rPr>
          <w:rFonts w:ascii="Cambria" w:hAnsi="Cambria"/>
          <w:szCs w:val="24"/>
        </w:rPr>
        <w:tab/>
      </w:r>
      <w:r w:rsidRPr="00B70DEF">
        <w:rPr>
          <w:rFonts w:ascii="Cambria" w:hAnsi="Cambria"/>
          <w:szCs w:val="24"/>
        </w:rPr>
        <w:tab/>
      </w:r>
      <w:r w:rsidRPr="00B70DEF">
        <w:rPr>
          <w:rFonts w:ascii="Cambria" w:hAnsi="Cambria"/>
          <w:szCs w:val="24"/>
        </w:rPr>
        <w:tab/>
        <w:t>3.00%</w:t>
      </w:r>
    </w:p>
    <w:p w14:paraId="38104FCA" w14:textId="77777777" w:rsidR="00B70DEF" w:rsidRPr="00B70DEF" w:rsidRDefault="00B70DEF" w:rsidP="00812125">
      <w:pPr>
        <w:pStyle w:val="NoSpacing"/>
        <w:ind w:left="2160"/>
        <w:rPr>
          <w:rFonts w:ascii="Cambria" w:hAnsi="Cambria"/>
          <w:szCs w:val="24"/>
        </w:rPr>
      </w:pPr>
      <w:r w:rsidRPr="00B70DEF">
        <w:rPr>
          <w:rFonts w:ascii="Cambria" w:hAnsi="Cambria"/>
          <w:szCs w:val="24"/>
        </w:rPr>
        <w:t>£100,001 - £300,000</w:t>
      </w:r>
      <w:r w:rsidRPr="00B70DEF">
        <w:rPr>
          <w:rFonts w:ascii="Cambria" w:hAnsi="Cambria"/>
          <w:szCs w:val="24"/>
        </w:rPr>
        <w:tab/>
      </w:r>
      <w:r w:rsidRPr="00B70DEF">
        <w:rPr>
          <w:rFonts w:ascii="Cambria" w:hAnsi="Cambria"/>
          <w:szCs w:val="24"/>
        </w:rPr>
        <w:tab/>
      </w:r>
      <w:r w:rsidRPr="00B70DEF">
        <w:rPr>
          <w:rFonts w:ascii="Cambria" w:hAnsi="Cambria"/>
          <w:szCs w:val="24"/>
        </w:rPr>
        <w:tab/>
        <w:t xml:space="preserve">1.50% </w:t>
      </w:r>
    </w:p>
    <w:p w14:paraId="2DA1BCFC" w14:textId="0505009E" w:rsidR="00B70DEF" w:rsidRDefault="00B70DEF" w:rsidP="00812125">
      <w:pPr>
        <w:pStyle w:val="NoSpacing"/>
        <w:ind w:left="1440" w:firstLine="720"/>
        <w:rPr>
          <w:rFonts w:ascii="Cambria" w:hAnsi="Cambria"/>
          <w:szCs w:val="24"/>
        </w:rPr>
      </w:pPr>
      <w:r w:rsidRPr="00B70DEF">
        <w:rPr>
          <w:rFonts w:ascii="Cambria" w:hAnsi="Cambria"/>
          <w:szCs w:val="24"/>
        </w:rPr>
        <w:t xml:space="preserve">£300,001 + </w:t>
      </w:r>
      <w:r w:rsidRPr="00B70DEF">
        <w:rPr>
          <w:rFonts w:ascii="Cambria" w:hAnsi="Cambria"/>
          <w:szCs w:val="24"/>
        </w:rPr>
        <w:tab/>
      </w:r>
      <w:r w:rsidRPr="00B70DEF">
        <w:rPr>
          <w:rFonts w:ascii="Cambria" w:hAnsi="Cambria"/>
          <w:szCs w:val="24"/>
        </w:rPr>
        <w:tab/>
      </w:r>
      <w:r w:rsidRPr="00B70DEF">
        <w:rPr>
          <w:rFonts w:ascii="Cambria" w:hAnsi="Cambria"/>
          <w:szCs w:val="24"/>
        </w:rPr>
        <w:tab/>
      </w:r>
      <w:r w:rsidRPr="00B70DEF">
        <w:rPr>
          <w:rFonts w:ascii="Cambria" w:hAnsi="Cambria"/>
          <w:szCs w:val="24"/>
        </w:rPr>
        <w:tab/>
        <w:t>0.75%</w:t>
      </w:r>
    </w:p>
    <w:p w14:paraId="2BF54E85" w14:textId="61AC720D" w:rsidR="0058642C" w:rsidRPr="00B70DEF" w:rsidRDefault="0058642C" w:rsidP="0058642C">
      <w:pPr>
        <w:pStyle w:val="NoSpacing"/>
        <w:ind w:left="2160"/>
        <w:rPr>
          <w:rFonts w:ascii="Cambria" w:hAnsi="Cambria"/>
          <w:szCs w:val="24"/>
        </w:rPr>
      </w:pPr>
      <w:r>
        <w:rPr>
          <w:rFonts w:ascii="Cambria" w:hAnsi="Cambria"/>
          <w:szCs w:val="24"/>
        </w:rPr>
        <w:t>(</w:t>
      </w:r>
      <w:r w:rsidR="00C50995">
        <w:rPr>
          <w:rFonts w:ascii="Cambria" w:hAnsi="Cambria"/>
        </w:rPr>
        <w:t xml:space="preserve">except VCT, EIS and BPR </w:t>
      </w:r>
      <w:r w:rsidR="00C50995" w:rsidRPr="008602D8">
        <w:rPr>
          <w:rFonts w:ascii="Cambria" w:hAnsi="Cambria"/>
        </w:rPr>
        <w:t xml:space="preserve">investments for clients who are not </w:t>
      </w:r>
      <w:r w:rsidR="00C73E74" w:rsidRPr="008602D8">
        <w:rPr>
          <w:rFonts w:ascii="Cambria" w:hAnsi="Cambria"/>
        </w:rPr>
        <w:t>util</w:t>
      </w:r>
      <w:r w:rsidR="0028409F" w:rsidRPr="008602D8">
        <w:rPr>
          <w:rFonts w:ascii="Cambria" w:hAnsi="Cambria"/>
        </w:rPr>
        <w:t>i</w:t>
      </w:r>
      <w:r w:rsidR="00C73E74" w:rsidRPr="008602D8">
        <w:rPr>
          <w:rFonts w:ascii="Cambria" w:hAnsi="Cambria"/>
        </w:rPr>
        <w:t>sing</w:t>
      </w:r>
      <w:r w:rsidR="00C50995" w:rsidRPr="008602D8">
        <w:rPr>
          <w:rFonts w:ascii="Cambria" w:hAnsi="Cambria"/>
        </w:rPr>
        <w:t xml:space="preserve"> our ongoing management service, for</w:t>
      </w:r>
      <w:r w:rsidR="00C50995">
        <w:rPr>
          <w:rFonts w:ascii="Cambria" w:hAnsi="Cambria"/>
        </w:rPr>
        <w:t xml:space="preserve"> which the charge is a flat 3% subject to a minimum of £</w:t>
      </w:r>
      <w:r w:rsidR="00C50995" w:rsidRPr="0044183E">
        <w:rPr>
          <w:rFonts w:ascii="Cambria" w:hAnsi="Cambria"/>
        </w:rPr>
        <w:t>1,000</w:t>
      </w:r>
      <w:r>
        <w:rPr>
          <w:rFonts w:ascii="Cambria" w:hAnsi="Cambria"/>
          <w:szCs w:val="24"/>
        </w:rPr>
        <w:t>).</w:t>
      </w:r>
    </w:p>
    <w:p w14:paraId="30DBDA7A" w14:textId="77777777" w:rsidR="00B70DEF" w:rsidRPr="00B70DEF" w:rsidRDefault="00B70DEF" w:rsidP="00B70DEF">
      <w:pPr>
        <w:pStyle w:val="NoSpacing"/>
        <w:rPr>
          <w:rFonts w:ascii="Cambria" w:hAnsi="Cambria"/>
        </w:rPr>
      </w:pPr>
    </w:p>
    <w:p w14:paraId="1BC724D6" w14:textId="77777777" w:rsidR="00C84A00" w:rsidRDefault="00812125" w:rsidP="00C84A00">
      <w:pPr>
        <w:spacing w:before="60" w:after="60" w:line="240" w:lineRule="auto"/>
        <w:ind w:left="2160" w:hanging="1440"/>
        <w:rPr>
          <w:rFonts w:ascii="Cambria" w:hAnsi="Cambria" w:cs="Calibri"/>
          <w:color w:val="auto"/>
        </w:rPr>
      </w:pPr>
      <w:r w:rsidRPr="00812125">
        <w:rPr>
          <w:rFonts w:ascii="Cambria" w:eastAsia="Calibri" w:hAnsi="Cambria" w:cs="Times New Roman"/>
          <w:i/>
          <w:color w:val="auto"/>
          <w:lang w:eastAsia="en-GB"/>
        </w:rPr>
        <w:t>Protection:</w:t>
      </w:r>
      <w:r w:rsidRPr="00985C36">
        <w:rPr>
          <w:rFonts w:ascii="Cambria" w:eastAsia="Calibri" w:hAnsi="Cambria" w:cs="Times New Roman"/>
          <w:b/>
          <w:color w:val="auto"/>
          <w:lang w:eastAsia="en-GB"/>
        </w:rPr>
        <w:t xml:space="preserve"> </w:t>
      </w:r>
      <w:r>
        <w:rPr>
          <w:rFonts w:ascii="Cambria" w:eastAsia="Calibri" w:hAnsi="Cambria" w:cs="Times New Roman"/>
          <w:b/>
          <w:color w:val="auto"/>
          <w:lang w:eastAsia="en-GB"/>
        </w:rPr>
        <w:t xml:space="preserve">    </w:t>
      </w:r>
      <w:r>
        <w:rPr>
          <w:rFonts w:ascii="Cambria" w:eastAsia="Calibri" w:hAnsi="Cambria" w:cs="Times New Roman"/>
          <w:b/>
          <w:color w:val="auto"/>
          <w:lang w:eastAsia="en-GB"/>
        </w:rPr>
        <w:tab/>
      </w:r>
      <w:r>
        <w:rPr>
          <w:rFonts w:ascii="Cambria" w:eastAsia="Calibri" w:hAnsi="Cambria" w:cs="Times New Roman"/>
          <w:color w:val="auto"/>
          <w:lang w:eastAsia="en-GB"/>
        </w:rPr>
        <w:t>W</w:t>
      </w:r>
      <w:r w:rsidRPr="00985C36">
        <w:rPr>
          <w:rFonts w:ascii="Cambria" w:hAnsi="Cambria" w:cs="Calibri"/>
          <w:color w:val="auto"/>
        </w:rPr>
        <w:t>e will receive commission from the provider;</w:t>
      </w:r>
      <w:r>
        <w:rPr>
          <w:rFonts w:ascii="Cambria" w:hAnsi="Cambria" w:cs="Calibri"/>
          <w:color w:val="auto"/>
        </w:rPr>
        <w:t xml:space="preserve"> alternatively, a fixed fee can </w:t>
      </w:r>
      <w:r w:rsidRPr="00985C36">
        <w:rPr>
          <w:rFonts w:ascii="Cambria" w:hAnsi="Cambria" w:cs="Calibri"/>
          <w:color w:val="auto"/>
        </w:rPr>
        <w:t>be agreed.</w:t>
      </w:r>
    </w:p>
    <w:p w14:paraId="4BB1C978" w14:textId="77777777" w:rsidR="005C69D1" w:rsidRDefault="005C69D1" w:rsidP="00C84A00">
      <w:pPr>
        <w:spacing w:before="60" w:after="60" w:line="240" w:lineRule="auto"/>
        <w:ind w:left="2160" w:hanging="1440"/>
        <w:rPr>
          <w:rFonts w:ascii="Cambria" w:eastAsia="Calibri" w:hAnsi="Cambria" w:cs="Times New Roman"/>
          <w:b/>
          <w:color w:val="auto"/>
          <w:lang w:eastAsia="en-GB"/>
        </w:rPr>
      </w:pPr>
    </w:p>
    <w:p w14:paraId="64403E9E" w14:textId="7E8AD688" w:rsidR="00812125" w:rsidRPr="005C69D1" w:rsidRDefault="00812125" w:rsidP="005C69D1">
      <w:pPr>
        <w:spacing w:before="60" w:after="60" w:line="240" w:lineRule="auto"/>
        <w:ind w:left="2160" w:hanging="1440"/>
        <w:rPr>
          <w:rFonts w:ascii="Cambria" w:eastAsia="Calibri" w:hAnsi="Cambria" w:cs="Times New Roman"/>
          <w:color w:val="auto"/>
          <w:lang w:eastAsia="en-GB"/>
        </w:rPr>
      </w:pPr>
      <w:r w:rsidRPr="00C84A00">
        <w:rPr>
          <w:rFonts w:ascii="Cambria" w:eastAsia="Calibri" w:hAnsi="Cambria" w:cs="Times New Roman"/>
          <w:i/>
          <w:color w:val="auto"/>
          <w:lang w:eastAsia="en-GB"/>
        </w:rPr>
        <w:t>Mortgages:</w:t>
      </w:r>
      <w:r w:rsidRPr="00C84A00">
        <w:rPr>
          <w:rFonts w:ascii="Cambria" w:eastAsia="Calibri" w:hAnsi="Cambria" w:cs="Times New Roman"/>
          <w:color w:val="auto"/>
          <w:lang w:eastAsia="en-GB"/>
        </w:rPr>
        <w:t xml:space="preserve">     </w:t>
      </w:r>
      <w:r w:rsidRPr="00C84A00">
        <w:rPr>
          <w:rFonts w:ascii="Cambria" w:eastAsia="Calibri" w:hAnsi="Cambria" w:cs="Times New Roman"/>
          <w:color w:val="auto"/>
          <w:lang w:eastAsia="en-GB"/>
        </w:rPr>
        <w:tab/>
      </w:r>
      <w:r w:rsidR="00C84A00" w:rsidRPr="00C84A00">
        <w:rPr>
          <w:rFonts w:ascii="Cambria" w:hAnsi="Cambria"/>
        </w:rPr>
        <w:t>A</w:t>
      </w:r>
      <w:r w:rsidR="00C84A00" w:rsidRPr="00C84A00">
        <w:rPr>
          <w:rFonts w:ascii="Cambria" w:hAnsi="Cambria"/>
          <w:spacing w:val="-1"/>
        </w:rPr>
        <w:t xml:space="preserve"> </w:t>
      </w:r>
      <w:r w:rsidR="00C84A00" w:rsidRPr="00C84A00">
        <w:rPr>
          <w:rFonts w:ascii="Cambria" w:hAnsi="Cambria"/>
        </w:rPr>
        <w:t xml:space="preserve">fee of </w:t>
      </w:r>
      <w:r w:rsidR="00C84A00" w:rsidRPr="00C84A00">
        <w:rPr>
          <w:rFonts w:ascii="Cambria" w:hAnsi="Cambria"/>
          <w:spacing w:val="-1"/>
        </w:rPr>
        <w:t>up to</w:t>
      </w:r>
      <w:r w:rsidR="00C84A00" w:rsidRPr="00C84A00">
        <w:rPr>
          <w:rFonts w:ascii="Cambria" w:hAnsi="Cambria"/>
        </w:rPr>
        <w:t xml:space="preserve"> </w:t>
      </w:r>
      <w:r w:rsidR="00C84A00" w:rsidRPr="00C84A00">
        <w:rPr>
          <w:rFonts w:ascii="Cambria" w:hAnsi="Cambria"/>
          <w:spacing w:val="-1"/>
        </w:rPr>
        <w:t>1.00</w:t>
      </w:r>
      <w:r w:rsidR="00C84A00" w:rsidRPr="00C84A00">
        <w:rPr>
          <w:rFonts w:ascii="Cambria" w:hAnsi="Cambria"/>
        </w:rPr>
        <w:t xml:space="preserve"> %</w:t>
      </w:r>
      <w:r w:rsidR="00C84A00" w:rsidRPr="00C84A00">
        <w:rPr>
          <w:rFonts w:ascii="Cambria" w:hAnsi="Cambria"/>
          <w:spacing w:val="-1"/>
        </w:rPr>
        <w:t xml:space="preserve"> of</w:t>
      </w:r>
      <w:r w:rsidR="00C84A00" w:rsidRPr="00C84A00">
        <w:rPr>
          <w:rFonts w:ascii="Cambria" w:hAnsi="Cambria"/>
        </w:rPr>
        <w:t xml:space="preserve"> </w:t>
      </w:r>
      <w:r w:rsidR="00C84A00" w:rsidRPr="00C84A00">
        <w:rPr>
          <w:rFonts w:ascii="Cambria" w:hAnsi="Cambria"/>
          <w:spacing w:val="-2"/>
        </w:rPr>
        <w:t>the</w:t>
      </w:r>
      <w:r w:rsidR="00C84A00" w:rsidRPr="00C84A00">
        <w:rPr>
          <w:rFonts w:ascii="Cambria" w:hAnsi="Cambria"/>
          <w:spacing w:val="26"/>
        </w:rPr>
        <w:t xml:space="preserve"> </w:t>
      </w:r>
      <w:r w:rsidR="00C84A00" w:rsidRPr="00C84A00">
        <w:rPr>
          <w:rFonts w:ascii="Cambria" w:hAnsi="Cambria"/>
          <w:spacing w:val="-1"/>
        </w:rPr>
        <w:t xml:space="preserve">loan amount </w:t>
      </w:r>
      <w:r w:rsidR="00C84A00" w:rsidRPr="00C84A00">
        <w:rPr>
          <w:rFonts w:ascii="Cambria" w:hAnsi="Cambria"/>
        </w:rPr>
        <w:t>-</w:t>
      </w:r>
      <w:r w:rsidR="00C84A00" w:rsidRPr="00C84A00">
        <w:rPr>
          <w:rFonts w:ascii="Cambria" w:hAnsi="Cambria"/>
          <w:spacing w:val="-2"/>
        </w:rPr>
        <w:t xml:space="preserve"> </w:t>
      </w:r>
      <w:r w:rsidR="00C84A00" w:rsidRPr="00C84A00">
        <w:rPr>
          <w:rFonts w:ascii="Cambria" w:hAnsi="Cambria"/>
        </w:rPr>
        <w:t>£</w:t>
      </w:r>
      <w:r w:rsidR="00A34958">
        <w:rPr>
          <w:rFonts w:ascii="Cambria" w:hAnsi="Cambria"/>
        </w:rPr>
        <w:t>59</w:t>
      </w:r>
      <w:r w:rsidR="00C84A00" w:rsidRPr="00C84A00">
        <w:rPr>
          <w:rFonts w:ascii="Cambria" w:hAnsi="Cambria"/>
        </w:rPr>
        <w:t xml:space="preserve">5 </w:t>
      </w:r>
      <w:r w:rsidR="00C84A00" w:rsidRPr="00C84A00">
        <w:rPr>
          <w:rFonts w:ascii="Cambria" w:hAnsi="Cambria"/>
          <w:spacing w:val="-2"/>
        </w:rPr>
        <w:t>payable</w:t>
      </w:r>
      <w:r w:rsidR="00C84A00" w:rsidRPr="00C84A00">
        <w:rPr>
          <w:rFonts w:ascii="Cambria" w:hAnsi="Cambria"/>
          <w:spacing w:val="28"/>
        </w:rPr>
        <w:t xml:space="preserve"> </w:t>
      </w:r>
      <w:r w:rsidR="00C84A00" w:rsidRPr="00C84A00">
        <w:rPr>
          <w:rFonts w:ascii="Cambria" w:hAnsi="Cambria"/>
          <w:spacing w:val="-1"/>
        </w:rPr>
        <w:t>at</w:t>
      </w:r>
      <w:r w:rsidR="00C84A00" w:rsidRPr="00C84A00">
        <w:rPr>
          <w:rFonts w:ascii="Cambria" w:hAnsi="Cambria"/>
        </w:rPr>
        <w:t xml:space="preserve"> </w:t>
      </w:r>
      <w:r w:rsidR="00C84A00" w:rsidRPr="00C84A00">
        <w:rPr>
          <w:rFonts w:ascii="Cambria" w:hAnsi="Cambria"/>
          <w:spacing w:val="-1"/>
        </w:rPr>
        <w:t>the</w:t>
      </w:r>
      <w:r w:rsidR="00C84A00" w:rsidRPr="00C84A00">
        <w:rPr>
          <w:rFonts w:ascii="Cambria" w:hAnsi="Cambria"/>
        </w:rPr>
        <w:t xml:space="preserve"> </w:t>
      </w:r>
      <w:r w:rsidR="00C84A00" w:rsidRPr="00C84A00">
        <w:rPr>
          <w:rFonts w:ascii="Cambria" w:hAnsi="Cambria"/>
          <w:spacing w:val="-1"/>
        </w:rPr>
        <w:t>outset</w:t>
      </w:r>
      <w:r w:rsidR="00C84A00" w:rsidRPr="00C84A00">
        <w:rPr>
          <w:rFonts w:ascii="Cambria" w:hAnsi="Cambria"/>
        </w:rPr>
        <w:t xml:space="preserve"> </w:t>
      </w:r>
      <w:r w:rsidR="00C84A00" w:rsidRPr="00C84A00">
        <w:rPr>
          <w:rFonts w:ascii="Cambria" w:hAnsi="Cambria"/>
          <w:spacing w:val="-1"/>
        </w:rPr>
        <w:t xml:space="preserve">and </w:t>
      </w:r>
      <w:r w:rsidR="00C84A00" w:rsidRPr="00C84A00">
        <w:rPr>
          <w:rFonts w:ascii="Cambria" w:hAnsi="Cambria"/>
          <w:spacing w:val="-2"/>
        </w:rPr>
        <w:t>the</w:t>
      </w:r>
      <w:r w:rsidR="00C84A00" w:rsidRPr="00C84A00">
        <w:rPr>
          <w:rFonts w:ascii="Cambria" w:hAnsi="Cambria"/>
        </w:rPr>
        <w:t xml:space="preserve"> </w:t>
      </w:r>
      <w:r w:rsidR="00C84A00" w:rsidRPr="00C84A00">
        <w:rPr>
          <w:rFonts w:ascii="Cambria" w:hAnsi="Cambria"/>
          <w:spacing w:val="-1"/>
        </w:rPr>
        <w:t>balance</w:t>
      </w:r>
      <w:r w:rsidR="00C84A00" w:rsidRPr="00C84A00">
        <w:rPr>
          <w:rFonts w:ascii="Cambria" w:hAnsi="Cambria"/>
          <w:spacing w:val="29"/>
        </w:rPr>
        <w:t xml:space="preserve"> </w:t>
      </w:r>
      <w:r w:rsidR="00C84A00" w:rsidRPr="00C84A00">
        <w:rPr>
          <w:rFonts w:ascii="Cambria" w:hAnsi="Cambria"/>
          <w:spacing w:val="-1"/>
        </w:rPr>
        <w:t xml:space="preserve">payable </w:t>
      </w:r>
      <w:r w:rsidR="00C84A00" w:rsidRPr="00C84A00">
        <w:rPr>
          <w:rFonts w:ascii="Cambria" w:hAnsi="Cambria"/>
        </w:rPr>
        <w:t>on</w:t>
      </w:r>
      <w:r w:rsidR="00C84A00" w:rsidRPr="00C84A00">
        <w:rPr>
          <w:rFonts w:ascii="Cambria" w:hAnsi="Cambria"/>
          <w:spacing w:val="-1"/>
        </w:rPr>
        <w:t xml:space="preserve"> receipt </w:t>
      </w:r>
      <w:r w:rsidR="00C84A00" w:rsidRPr="00C84A00">
        <w:rPr>
          <w:rFonts w:ascii="Cambria" w:hAnsi="Cambria"/>
        </w:rPr>
        <w:t>of</w:t>
      </w:r>
      <w:r w:rsidR="00C84A00" w:rsidRPr="00C84A00">
        <w:rPr>
          <w:rFonts w:ascii="Cambria" w:hAnsi="Cambria"/>
          <w:spacing w:val="26"/>
        </w:rPr>
        <w:t xml:space="preserve"> </w:t>
      </w:r>
      <w:r w:rsidR="00C84A00" w:rsidRPr="00C84A00">
        <w:rPr>
          <w:rFonts w:ascii="Cambria" w:hAnsi="Cambria"/>
          <w:spacing w:val="-1"/>
        </w:rPr>
        <w:t>Mortgage</w:t>
      </w:r>
      <w:r w:rsidR="00C84A00" w:rsidRPr="00C84A00">
        <w:rPr>
          <w:rFonts w:ascii="Cambria" w:hAnsi="Cambria"/>
        </w:rPr>
        <w:t xml:space="preserve"> </w:t>
      </w:r>
      <w:r w:rsidR="00C84A00" w:rsidRPr="00C84A00">
        <w:rPr>
          <w:rFonts w:ascii="Cambria" w:hAnsi="Cambria"/>
          <w:spacing w:val="-1"/>
        </w:rPr>
        <w:t>Offer.</w:t>
      </w:r>
      <w:r w:rsidR="00C84A00" w:rsidRPr="00C84A00">
        <w:rPr>
          <w:rFonts w:ascii="Cambria" w:hAnsi="Cambria"/>
        </w:rPr>
        <w:t xml:space="preserve"> </w:t>
      </w:r>
      <w:r w:rsidR="00C84A00" w:rsidRPr="00C84A00">
        <w:rPr>
          <w:rFonts w:ascii="Cambria" w:hAnsi="Cambria"/>
          <w:spacing w:val="-1"/>
        </w:rPr>
        <w:t xml:space="preserve">(On </w:t>
      </w:r>
      <w:r w:rsidR="00C84A00" w:rsidRPr="00C84A00">
        <w:rPr>
          <w:rFonts w:ascii="Cambria" w:hAnsi="Cambria"/>
        </w:rPr>
        <w:t>a</w:t>
      </w:r>
      <w:r w:rsidR="00C84A00" w:rsidRPr="00C84A00">
        <w:rPr>
          <w:rFonts w:ascii="Cambria" w:hAnsi="Cambria"/>
          <w:spacing w:val="24"/>
        </w:rPr>
        <w:t xml:space="preserve"> </w:t>
      </w:r>
      <w:r w:rsidR="00C84A00" w:rsidRPr="00C84A00">
        <w:rPr>
          <w:rFonts w:ascii="Cambria" w:hAnsi="Cambria"/>
          <w:spacing w:val="-1"/>
        </w:rPr>
        <w:t>mortgage</w:t>
      </w:r>
      <w:r w:rsidR="00C84A00" w:rsidRPr="00C84A00">
        <w:rPr>
          <w:rFonts w:ascii="Cambria" w:hAnsi="Cambria"/>
        </w:rPr>
        <w:t xml:space="preserve"> of</w:t>
      </w:r>
      <w:r w:rsidR="00C84A00" w:rsidRPr="00C84A00">
        <w:rPr>
          <w:rFonts w:ascii="Cambria" w:hAnsi="Cambria"/>
          <w:spacing w:val="-3"/>
        </w:rPr>
        <w:t xml:space="preserve"> </w:t>
      </w:r>
      <w:r w:rsidR="00C84A00" w:rsidRPr="00C84A00">
        <w:rPr>
          <w:rFonts w:ascii="Cambria" w:hAnsi="Cambria"/>
          <w:spacing w:val="-1"/>
        </w:rPr>
        <w:lastRenderedPageBreak/>
        <w:t>£100,000 the</w:t>
      </w:r>
      <w:r w:rsidR="00C84A00" w:rsidRPr="00C84A00">
        <w:rPr>
          <w:rFonts w:ascii="Cambria" w:hAnsi="Cambria"/>
          <w:spacing w:val="30"/>
        </w:rPr>
        <w:t xml:space="preserve"> </w:t>
      </w:r>
      <w:r w:rsidR="00C84A00" w:rsidRPr="00C84A00">
        <w:rPr>
          <w:rFonts w:ascii="Cambria" w:hAnsi="Cambria"/>
          <w:spacing w:val="-1"/>
        </w:rPr>
        <w:t>total</w:t>
      </w:r>
      <w:r w:rsidR="00C84A00" w:rsidRPr="00C84A00">
        <w:rPr>
          <w:rFonts w:ascii="Cambria" w:hAnsi="Cambria"/>
        </w:rPr>
        <w:t xml:space="preserve"> fee </w:t>
      </w:r>
      <w:r w:rsidR="00C84A00" w:rsidRPr="00C84A00">
        <w:rPr>
          <w:rFonts w:ascii="Cambria" w:hAnsi="Cambria"/>
          <w:spacing w:val="-2"/>
        </w:rPr>
        <w:t>payable</w:t>
      </w:r>
      <w:r w:rsidR="00C84A00" w:rsidRPr="00C84A00">
        <w:rPr>
          <w:rFonts w:ascii="Cambria" w:hAnsi="Cambria"/>
        </w:rPr>
        <w:t xml:space="preserve"> </w:t>
      </w:r>
      <w:r w:rsidR="00C84A00" w:rsidRPr="00C84A00">
        <w:rPr>
          <w:rFonts w:ascii="Cambria" w:hAnsi="Cambria"/>
          <w:spacing w:val="-1"/>
        </w:rPr>
        <w:t>would</w:t>
      </w:r>
      <w:r w:rsidR="00C84A00" w:rsidRPr="00C84A00">
        <w:rPr>
          <w:rFonts w:ascii="Cambria" w:hAnsi="Cambria"/>
        </w:rPr>
        <w:t xml:space="preserve"> </w:t>
      </w:r>
      <w:r w:rsidR="00C84A00" w:rsidRPr="00C84A00">
        <w:rPr>
          <w:rFonts w:ascii="Cambria" w:hAnsi="Cambria"/>
          <w:spacing w:val="-2"/>
        </w:rPr>
        <w:t>be</w:t>
      </w:r>
      <w:r w:rsidR="00C84A00">
        <w:rPr>
          <w:rFonts w:ascii="Cambria" w:hAnsi="Cambria"/>
          <w:spacing w:val="-2"/>
        </w:rPr>
        <w:t xml:space="preserve"> </w:t>
      </w:r>
      <w:r w:rsidR="00C84A00">
        <w:rPr>
          <w:rFonts w:ascii="Cambria" w:hAnsi="Cambria"/>
          <w:spacing w:val="-1"/>
        </w:rPr>
        <w:t xml:space="preserve">£1,000).  </w:t>
      </w:r>
      <w:r w:rsidR="00C84A00">
        <w:rPr>
          <w:rFonts w:ascii="Cambria"/>
          <w:spacing w:val="-1"/>
        </w:rPr>
        <w:t>We</w:t>
      </w:r>
      <w:r w:rsidR="00C84A00">
        <w:rPr>
          <w:rFonts w:ascii="Cambria"/>
        </w:rPr>
        <w:t xml:space="preserve"> </w:t>
      </w:r>
      <w:r w:rsidR="00C84A00">
        <w:rPr>
          <w:rFonts w:ascii="Cambria"/>
          <w:spacing w:val="-1"/>
        </w:rPr>
        <w:t>may also</w:t>
      </w:r>
      <w:r w:rsidR="00C84A00">
        <w:rPr>
          <w:rFonts w:ascii="Cambria"/>
        </w:rPr>
        <w:t xml:space="preserve"> </w:t>
      </w:r>
      <w:r w:rsidR="00C84A00">
        <w:rPr>
          <w:rFonts w:ascii="Cambria"/>
          <w:spacing w:val="-1"/>
        </w:rPr>
        <w:t>be</w:t>
      </w:r>
      <w:r w:rsidR="00C84A00">
        <w:rPr>
          <w:rFonts w:ascii="Cambria"/>
        </w:rPr>
        <w:t xml:space="preserve"> </w:t>
      </w:r>
      <w:r w:rsidR="00C84A00">
        <w:rPr>
          <w:rFonts w:ascii="Cambria"/>
          <w:spacing w:val="-1"/>
        </w:rPr>
        <w:t>paid</w:t>
      </w:r>
      <w:r w:rsidR="00C84A00">
        <w:rPr>
          <w:rFonts w:ascii="Cambria"/>
          <w:spacing w:val="26"/>
        </w:rPr>
        <w:t xml:space="preserve"> </w:t>
      </w:r>
      <w:r w:rsidR="00C84A00">
        <w:rPr>
          <w:rFonts w:ascii="Cambria"/>
          <w:spacing w:val="-1"/>
        </w:rPr>
        <w:t>commission by the</w:t>
      </w:r>
      <w:r w:rsidR="00C84A00">
        <w:rPr>
          <w:rFonts w:ascii="Cambria"/>
        </w:rPr>
        <w:t xml:space="preserve"> </w:t>
      </w:r>
      <w:r w:rsidR="00C84A00">
        <w:rPr>
          <w:rFonts w:ascii="Cambria"/>
          <w:spacing w:val="-1"/>
        </w:rPr>
        <w:t>lender.</w:t>
      </w:r>
      <w:r w:rsidRPr="00824BC7">
        <w:rPr>
          <w:rFonts w:ascii="Cambria" w:eastAsia="Calibri" w:hAnsi="Cambria" w:cs="Times New Roman"/>
          <w:color w:val="auto"/>
          <w:lang w:eastAsia="en-GB"/>
        </w:rPr>
        <w:t xml:space="preserve"> </w:t>
      </w:r>
    </w:p>
    <w:p w14:paraId="71B08B0E" w14:textId="77777777" w:rsidR="00B70DEF" w:rsidRPr="00B70DEF" w:rsidRDefault="00B70DEF" w:rsidP="00B70DEF">
      <w:pPr>
        <w:pStyle w:val="NoSpacing"/>
        <w:rPr>
          <w:rFonts w:ascii="Cambria" w:hAnsi="Cambria"/>
        </w:rPr>
      </w:pPr>
    </w:p>
    <w:p w14:paraId="79950283" w14:textId="77777777" w:rsidR="00B70DEF" w:rsidRPr="00B70DEF" w:rsidRDefault="00B70DEF" w:rsidP="00B70DEF">
      <w:pPr>
        <w:pStyle w:val="NoSpacing"/>
        <w:rPr>
          <w:rFonts w:ascii="Cambria" w:hAnsi="Cambria"/>
          <w:b/>
        </w:rPr>
      </w:pPr>
      <w:r w:rsidRPr="00B70DEF">
        <w:rPr>
          <w:rFonts w:ascii="Cambria" w:hAnsi="Cambria"/>
          <w:b/>
        </w:rPr>
        <w:t>Servicing</w:t>
      </w:r>
    </w:p>
    <w:p w14:paraId="648E417E" w14:textId="77777777" w:rsidR="00B70DEF" w:rsidRPr="00B70DEF" w:rsidRDefault="00B70DEF" w:rsidP="00B70DEF">
      <w:pPr>
        <w:pStyle w:val="NoSpacing"/>
        <w:rPr>
          <w:rFonts w:ascii="Cambria" w:hAnsi="Cambria"/>
          <w:b/>
        </w:rPr>
      </w:pPr>
    </w:p>
    <w:p w14:paraId="23338E1F" w14:textId="6782D735" w:rsidR="00B70DEF" w:rsidRDefault="00B70DEF" w:rsidP="00B54C47">
      <w:pPr>
        <w:pStyle w:val="NoSpacing"/>
        <w:ind w:firstLine="720"/>
        <w:rPr>
          <w:rFonts w:ascii="Cambria" w:hAnsi="Cambria"/>
        </w:rPr>
      </w:pPr>
      <w:r w:rsidRPr="00B70DEF">
        <w:rPr>
          <w:rFonts w:ascii="Cambria" w:hAnsi="Cambria"/>
          <w:i/>
        </w:rPr>
        <w:t>Financial Planning:</w:t>
      </w:r>
      <w:r w:rsidR="00B54C47">
        <w:rPr>
          <w:rFonts w:ascii="Cambria" w:hAnsi="Cambria"/>
          <w:i/>
        </w:rPr>
        <w:tab/>
      </w:r>
      <w:r w:rsidR="00B54C47">
        <w:rPr>
          <w:rFonts w:ascii="Cambria" w:hAnsi="Cambria"/>
        </w:rPr>
        <w:t xml:space="preserve">£750 - £1,000 depending on complexity </w:t>
      </w:r>
    </w:p>
    <w:p w14:paraId="02BA7264" w14:textId="77777777" w:rsidR="00B54C47" w:rsidRPr="00B70DEF" w:rsidRDefault="00B54C47" w:rsidP="00B54C47">
      <w:pPr>
        <w:pStyle w:val="NoSpacing"/>
        <w:ind w:firstLine="720"/>
        <w:rPr>
          <w:rFonts w:ascii="Cambria" w:hAnsi="Cambria"/>
        </w:rPr>
      </w:pPr>
    </w:p>
    <w:p w14:paraId="0BDFFA6E" w14:textId="77777777" w:rsidR="00B70DEF" w:rsidRPr="00B70DEF" w:rsidRDefault="00B70DEF" w:rsidP="00B70DEF">
      <w:pPr>
        <w:pStyle w:val="NoSpacing"/>
        <w:ind w:firstLine="720"/>
        <w:rPr>
          <w:rFonts w:ascii="Cambria" w:hAnsi="Cambria"/>
          <w:b/>
        </w:rPr>
      </w:pPr>
    </w:p>
    <w:p w14:paraId="2A970629" w14:textId="2D3295A6" w:rsidR="00B70DEF" w:rsidRDefault="00A26F75" w:rsidP="00B70DEF">
      <w:pPr>
        <w:pStyle w:val="NoSpacing"/>
        <w:ind w:firstLine="720"/>
        <w:rPr>
          <w:rFonts w:ascii="Cambria" w:hAnsi="Cambria"/>
        </w:rPr>
      </w:pPr>
      <w:r>
        <w:rPr>
          <w:rFonts w:ascii="Cambria" w:hAnsi="Cambria"/>
          <w:i/>
        </w:rPr>
        <w:t>I</w:t>
      </w:r>
      <w:r w:rsidR="00B70DEF" w:rsidRPr="00B70DEF">
        <w:rPr>
          <w:rFonts w:ascii="Cambria" w:hAnsi="Cambria"/>
          <w:i/>
        </w:rPr>
        <w:t>nvestment</w:t>
      </w:r>
      <w:r w:rsidR="00B54C47">
        <w:rPr>
          <w:rFonts w:ascii="Cambria" w:hAnsi="Cambria"/>
          <w:i/>
        </w:rPr>
        <w:t>s:</w:t>
      </w:r>
    </w:p>
    <w:p w14:paraId="7DE72D32" w14:textId="77777777" w:rsidR="00450DD0" w:rsidRDefault="00450DD0" w:rsidP="00B70DEF">
      <w:pPr>
        <w:pStyle w:val="NoSpacing"/>
        <w:ind w:firstLine="720"/>
        <w:rPr>
          <w:rFonts w:ascii="Cambria" w:hAnsi="Cambria"/>
        </w:rPr>
      </w:pPr>
    </w:p>
    <w:p w14:paraId="28BDC23D" w14:textId="385F467C" w:rsidR="00450DD0" w:rsidRPr="00CE48AC" w:rsidRDefault="00450DD0" w:rsidP="00450DD0">
      <w:pPr>
        <w:pStyle w:val="NoSpacing"/>
        <w:ind w:left="720"/>
        <w:rPr>
          <w:rFonts w:ascii="Cambria" w:hAnsi="Cambria"/>
        </w:rPr>
      </w:pPr>
      <w:r>
        <w:rPr>
          <w:rFonts w:ascii="Cambria" w:hAnsi="Cambria"/>
        </w:rPr>
        <w:t xml:space="preserve">Our Annual Fee for </w:t>
      </w:r>
      <w:r w:rsidR="00B54C47">
        <w:rPr>
          <w:rFonts w:ascii="Cambria" w:hAnsi="Cambria"/>
        </w:rPr>
        <w:t xml:space="preserve">Investment </w:t>
      </w:r>
      <w:r>
        <w:rPr>
          <w:rFonts w:ascii="Cambria" w:hAnsi="Cambria"/>
        </w:rPr>
        <w:t xml:space="preserve">Portfolio Advice starts at 1.5% a year for portfolios of </w:t>
      </w:r>
      <w:r w:rsidRPr="00CE48AC">
        <w:rPr>
          <w:rFonts w:ascii="Cambria" w:hAnsi="Cambria"/>
        </w:rPr>
        <w:t>£</w:t>
      </w:r>
      <w:r w:rsidR="00C37E37" w:rsidRPr="00CE48AC">
        <w:rPr>
          <w:rFonts w:ascii="Cambria" w:hAnsi="Cambria"/>
        </w:rPr>
        <w:t>2</w:t>
      </w:r>
      <w:r w:rsidRPr="00CE48AC">
        <w:rPr>
          <w:rFonts w:ascii="Cambria" w:hAnsi="Cambria"/>
        </w:rPr>
        <w:t>00,000</w:t>
      </w:r>
      <w:r w:rsidR="00B32EF3" w:rsidRPr="00CE48AC">
        <w:rPr>
          <w:rFonts w:ascii="Cambria" w:hAnsi="Cambria"/>
        </w:rPr>
        <w:t xml:space="preserve"> or less</w:t>
      </w:r>
      <w:r w:rsidRPr="00CE48AC">
        <w:rPr>
          <w:rFonts w:ascii="Cambria" w:hAnsi="Cambria"/>
        </w:rPr>
        <w:t xml:space="preserve">.  The percentage reduces as the </w:t>
      </w:r>
      <w:r w:rsidR="00B54C47" w:rsidRPr="00CE48AC">
        <w:rPr>
          <w:rFonts w:ascii="Cambria" w:hAnsi="Cambria"/>
        </w:rPr>
        <w:t xml:space="preserve">values </w:t>
      </w:r>
      <w:r w:rsidR="00CB527B" w:rsidRPr="00CE48AC">
        <w:rPr>
          <w:rFonts w:ascii="Cambria" w:hAnsi="Cambria"/>
        </w:rPr>
        <w:t>increase</w:t>
      </w:r>
      <w:r w:rsidRPr="00CE48AC">
        <w:rPr>
          <w:rFonts w:ascii="Cambria" w:hAnsi="Cambria"/>
        </w:rPr>
        <w:t>, as per the chart below.</w:t>
      </w:r>
    </w:p>
    <w:p w14:paraId="0B96A1D1" w14:textId="77777777" w:rsidR="00450DD0" w:rsidRPr="00CE48AC" w:rsidRDefault="00450DD0" w:rsidP="00450DD0">
      <w:pPr>
        <w:pStyle w:val="NoSpacing"/>
        <w:ind w:left="720"/>
        <w:rPr>
          <w:rFonts w:ascii="Cambria" w:hAnsi="Cambria"/>
        </w:rPr>
      </w:pPr>
    </w:p>
    <w:p w14:paraId="12A069C0" w14:textId="591C8599" w:rsidR="00B70DEF" w:rsidRPr="00CE48AC" w:rsidRDefault="00A01191" w:rsidP="00450DD0">
      <w:pPr>
        <w:pStyle w:val="NoSpacing"/>
        <w:rPr>
          <w:rFonts w:ascii="Cambria" w:hAnsi="Cambria"/>
        </w:rPr>
      </w:pPr>
      <w:r w:rsidRPr="00CE48AC">
        <w:rPr>
          <w:rFonts w:ascii="Cambria" w:hAnsi="Cambria"/>
          <w:i/>
        </w:rPr>
        <w:tab/>
      </w:r>
      <w:r w:rsidR="00B56964">
        <w:rPr>
          <w:rFonts w:ascii="Cambria" w:hAnsi="Cambria"/>
          <w:noProof/>
          <w:sz w:val="24"/>
        </w:rPr>
        <w:drawing>
          <wp:inline distT="0" distB="0" distL="0" distR="0" wp14:anchorId="7AEDBB0C" wp14:editId="41FF4F3E">
            <wp:extent cx="5848350" cy="4311173"/>
            <wp:effectExtent l="0" t="0" r="0" b="0"/>
            <wp:docPr id="624208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5995" cy="4324180"/>
                    </a:xfrm>
                    <a:prstGeom prst="rect">
                      <a:avLst/>
                    </a:prstGeom>
                    <a:noFill/>
                  </pic:spPr>
                </pic:pic>
              </a:graphicData>
            </a:graphic>
          </wp:inline>
        </w:drawing>
      </w:r>
    </w:p>
    <w:p w14:paraId="1DBEB4ED" w14:textId="77777777" w:rsidR="00C0531C" w:rsidRPr="00CE48AC" w:rsidRDefault="00C0531C" w:rsidP="00C0531C">
      <w:pPr>
        <w:pStyle w:val="NoSpacing"/>
        <w:rPr>
          <w:rFonts w:ascii="Cambria" w:hAnsi="Cambria"/>
        </w:rPr>
      </w:pPr>
    </w:p>
    <w:p w14:paraId="6294832D" w14:textId="77777777" w:rsidR="007A6FFF" w:rsidRPr="00CE48AC" w:rsidRDefault="007A6FFF" w:rsidP="00C0531C">
      <w:pPr>
        <w:pStyle w:val="NoSpacing"/>
        <w:jc w:val="center"/>
        <w:rPr>
          <w:rFonts w:ascii="Cambria" w:hAnsi="Cambria"/>
          <w:i/>
        </w:rPr>
      </w:pPr>
    </w:p>
    <w:p w14:paraId="382FA9F6" w14:textId="328684BE" w:rsidR="00C0531C" w:rsidRPr="00CE48AC" w:rsidRDefault="00C0531C" w:rsidP="00C0531C">
      <w:pPr>
        <w:pStyle w:val="NoSpacing"/>
        <w:jc w:val="center"/>
        <w:rPr>
          <w:rFonts w:ascii="Cambria" w:hAnsi="Cambria"/>
          <w:i/>
        </w:rPr>
      </w:pPr>
      <w:r w:rsidRPr="00CE48AC">
        <w:rPr>
          <w:rFonts w:ascii="Cambria" w:hAnsi="Cambria"/>
          <w:i/>
        </w:rPr>
        <w:t xml:space="preserve">Worked examples of the charges that are quoted </w:t>
      </w:r>
      <w:r w:rsidR="00A01191" w:rsidRPr="00CE48AC">
        <w:rPr>
          <w:rFonts w:ascii="Cambria" w:hAnsi="Cambria"/>
          <w:i/>
        </w:rPr>
        <w:t>as percentages appear overleaf.</w:t>
      </w:r>
    </w:p>
    <w:p w14:paraId="5A660B00" w14:textId="3D108ACB" w:rsidR="00A01191" w:rsidRPr="00CE48AC" w:rsidRDefault="00A01191" w:rsidP="00450DD0">
      <w:pPr>
        <w:pStyle w:val="NoSpacing"/>
        <w:jc w:val="center"/>
        <w:rPr>
          <w:rFonts w:ascii="Cambria" w:hAnsi="Cambria"/>
          <w:i/>
        </w:rPr>
      </w:pPr>
      <w:r w:rsidRPr="00CE48AC">
        <w:rPr>
          <w:rFonts w:ascii="Cambria" w:hAnsi="Cambria"/>
          <w:i/>
        </w:rPr>
        <w:t>Under current regulations VAT is not chargeable on any of the above services.</w:t>
      </w:r>
    </w:p>
    <w:p w14:paraId="45DD225D" w14:textId="77777777" w:rsidR="00EF2436" w:rsidRPr="00CE48AC" w:rsidRDefault="00EF2436" w:rsidP="00450DD0">
      <w:pPr>
        <w:pStyle w:val="NoSpacing"/>
        <w:jc w:val="center"/>
        <w:rPr>
          <w:rFonts w:ascii="Cambria" w:hAnsi="Cambria"/>
          <w:i/>
        </w:rPr>
      </w:pPr>
    </w:p>
    <w:p w14:paraId="2B26A8B6" w14:textId="77777777" w:rsidR="00EF2436" w:rsidRPr="00CE48AC" w:rsidRDefault="00EF2436" w:rsidP="00EF2436">
      <w:pPr>
        <w:pStyle w:val="NoSpacing"/>
        <w:rPr>
          <w:rFonts w:ascii="Cambria" w:hAnsi="Cambria"/>
        </w:rPr>
      </w:pPr>
    </w:p>
    <w:p w14:paraId="69723728" w14:textId="018FE1FA" w:rsidR="00EF2436" w:rsidRPr="00CE48AC" w:rsidRDefault="00EF2436" w:rsidP="00EF2436">
      <w:pPr>
        <w:pStyle w:val="NoSpacing"/>
        <w:rPr>
          <w:rFonts w:ascii="Cambria" w:hAnsi="Cambria"/>
        </w:rPr>
      </w:pPr>
      <w:r w:rsidRPr="00CE48AC">
        <w:rPr>
          <w:rFonts w:ascii="Cambria" w:hAnsi="Cambria"/>
        </w:rPr>
        <w:t>For externally-managed DFM portfolios we charge a flat fee of 0.5% per annum of the value of the holdings.</w:t>
      </w:r>
    </w:p>
    <w:p w14:paraId="1DA37033" w14:textId="0ED6463E" w:rsidR="00EF2436" w:rsidRPr="00CE48AC" w:rsidRDefault="00EF2436">
      <w:pPr>
        <w:rPr>
          <w:rFonts w:ascii="Cambria" w:hAnsi="Cambria"/>
          <w:i/>
          <w:color w:val="auto"/>
        </w:rPr>
      </w:pPr>
      <w:r w:rsidRPr="00CE48AC">
        <w:rPr>
          <w:rFonts w:ascii="Cambria" w:hAnsi="Cambria"/>
          <w:i/>
          <w:color w:val="auto"/>
        </w:rPr>
        <w:br w:type="page"/>
      </w:r>
    </w:p>
    <w:p w14:paraId="55498692" w14:textId="6D07E2CB" w:rsidR="00A475CB" w:rsidRPr="00CE48AC" w:rsidRDefault="00A01191" w:rsidP="00E95AC1">
      <w:pPr>
        <w:pStyle w:val="NumberedHeading1"/>
        <w:numPr>
          <w:ilvl w:val="0"/>
          <w:numId w:val="0"/>
        </w:numPr>
        <w:ind w:left="1440" w:firstLine="720"/>
        <w:rPr>
          <w:rFonts w:ascii="Cambria" w:hAnsi="Cambria"/>
          <w:color w:val="auto"/>
        </w:rPr>
      </w:pPr>
      <w:r w:rsidRPr="00CE48AC">
        <w:rPr>
          <w:rFonts w:ascii="Cambria" w:hAnsi="Cambria"/>
          <w:color w:val="auto"/>
        </w:rPr>
        <w:lastRenderedPageBreak/>
        <w:t>Examples of Percentage-Based Fees</w:t>
      </w:r>
    </w:p>
    <w:p w14:paraId="71A17EDC" w14:textId="77777777" w:rsidR="005C69D1" w:rsidRDefault="005C69D1" w:rsidP="00A475CB">
      <w:pPr>
        <w:spacing w:before="60" w:after="60" w:line="240" w:lineRule="auto"/>
        <w:rPr>
          <w:rFonts w:ascii="Cambria" w:hAnsi="Cambria"/>
          <w:i/>
          <w:color w:val="auto"/>
        </w:rPr>
      </w:pPr>
    </w:p>
    <w:p w14:paraId="1D35782D" w14:textId="2F552CB9" w:rsidR="00A01191" w:rsidRPr="00CE48AC" w:rsidRDefault="00A01191" w:rsidP="00A475CB">
      <w:pPr>
        <w:spacing w:before="60" w:after="60" w:line="240" w:lineRule="auto"/>
        <w:rPr>
          <w:rFonts w:ascii="Cambria" w:hAnsi="Cambria"/>
          <w:i/>
          <w:color w:val="auto"/>
        </w:rPr>
      </w:pPr>
      <w:r w:rsidRPr="00CE48AC">
        <w:rPr>
          <w:rFonts w:ascii="Cambria" w:hAnsi="Cambria"/>
          <w:i/>
          <w:color w:val="auto"/>
        </w:rPr>
        <w:t>Example 1</w:t>
      </w:r>
      <w:r w:rsidR="00EB76DC" w:rsidRPr="00CE48AC">
        <w:rPr>
          <w:rFonts w:ascii="Cambria" w:hAnsi="Cambria"/>
          <w:i/>
          <w:color w:val="auto"/>
        </w:rPr>
        <w:t>:</w:t>
      </w:r>
      <w:r w:rsidR="00EB76DC" w:rsidRPr="00CE48AC">
        <w:rPr>
          <w:rFonts w:ascii="Cambria" w:hAnsi="Cambria"/>
          <w:i/>
          <w:color w:val="auto"/>
        </w:rPr>
        <w:tab/>
      </w:r>
      <w:r w:rsidRPr="00CE48AC">
        <w:rPr>
          <w:rFonts w:ascii="Cambria" w:hAnsi="Cambria"/>
          <w:i/>
          <w:color w:val="auto"/>
        </w:rPr>
        <w:t xml:space="preserve">Mr </w:t>
      </w:r>
      <w:r w:rsidR="007A6FFF" w:rsidRPr="00CE48AC">
        <w:rPr>
          <w:rFonts w:ascii="Cambria" w:hAnsi="Cambria"/>
          <w:i/>
          <w:color w:val="auto"/>
        </w:rPr>
        <w:t>White</w:t>
      </w:r>
      <w:r w:rsidRPr="00CE48AC">
        <w:rPr>
          <w:rFonts w:ascii="Cambria" w:hAnsi="Cambria"/>
          <w:i/>
          <w:color w:val="auto"/>
        </w:rPr>
        <w:t xml:space="preserve"> has £120,000 to invest.  His initial fee will be:</w:t>
      </w:r>
    </w:p>
    <w:p w14:paraId="1502D466" w14:textId="77777777" w:rsidR="00EB76DC" w:rsidRPr="00CE48AC" w:rsidRDefault="00EB76DC" w:rsidP="00A475CB">
      <w:pPr>
        <w:spacing w:before="60" w:after="60" w:line="240" w:lineRule="auto"/>
        <w:rPr>
          <w:rFonts w:ascii="Cambria" w:hAnsi="Cambria"/>
          <w:color w:val="auto"/>
        </w:rPr>
      </w:pPr>
    </w:p>
    <w:p w14:paraId="1C06F485" w14:textId="4C2AA2F5" w:rsidR="00A01191" w:rsidRPr="00CE48AC" w:rsidRDefault="00A01191" w:rsidP="00A475CB">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£100,000 x   3.00%</w:t>
      </w:r>
      <w:r w:rsidRPr="00CE48AC">
        <w:rPr>
          <w:rFonts w:ascii="Cambria" w:hAnsi="Cambria"/>
          <w:color w:val="auto"/>
        </w:rPr>
        <w:tab/>
      </w:r>
      <w:r w:rsidRPr="00CE48AC">
        <w:rPr>
          <w:rFonts w:ascii="Cambria" w:hAnsi="Cambria"/>
          <w:color w:val="auto"/>
        </w:rPr>
        <w:tab/>
        <w:t>=</w:t>
      </w:r>
      <w:r w:rsidRPr="00CE48AC">
        <w:rPr>
          <w:rFonts w:ascii="Cambria" w:hAnsi="Cambria"/>
          <w:color w:val="auto"/>
        </w:rPr>
        <w:tab/>
        <w:t>£3,000</w:t>
      </w:r>
    </w:p>
    <w:p w14:paraId="01AFBE71" w14:textId="43526CF4" w:rsidR="00A01191" w:rsidRPr="00CE48AC" w:rsidRDefault="00A01191" w:rsidP="00A475CB">
      <w:pPr>
        <w:spacing w:before="60" w:after="60" w:line="240" w:lineRule="auto"/>
        <w:rPr>
          <w:rFonts w:ascii="Cambria" w:hAnsi="Cambria"/>
          <w:color w:val="auto"/>
          <w:u w:val="single"/>
        </w:rPr>
      </w:pPr>
      <w:r w:rsidRPr="00CE48AC">
        <w:rPr>
          <w:rFonts w:ascii="Cambria" w:hAnsi="Cambria"/>
          <w:color w:val="auto"/>
        </w:rPr>
        <w:tab/>
      </w:r>
      <w:r w:rsidRPr="00CE48AC">
        <w:rPr>
          <w:rFonts w:ascii="Cambria" w:hAnsi="Cambria"/>
          <w:color w:val="auto"/>
        </w:rPr>
        <w:tab/>
        <w:t>£  20,000  x  1.50%</w:t>
      </w:r>
      <w:r w:rsidRPr="00CE48AC">
        <w:rPr>
          <w:rFonts w:ascii="Cambria" w:hAnsi="Cambria"/>
          <w:color w:val="auto"/>
        </w:rPr>
        <w:tab/>
      </w:r>
      <w:r w:rsidRPr="00CE48AC">
        <w:rPr>
          <w:rFonts w:ascii="Cambria" w:hAnsi="Cambria"/>
          <w:color w:val="auto"/>
        </w:rPr>
        <w:tab/>
        <w:t>=</w:t>
      </w:r>
      <w:r w:rsidRPr="00CE48AC">
        <w:rPr>
          <w:rFonts w:ascii="Cambria" w:hAnsi="Cambria"/>
          <w:color w:val="auto"/>
        </w:rPr>
        <w:tab/>
      </w:r>
      <w:r w:rsidRPr="00CE48AC">
        <w:rPr>
          <w:rFonts w:ascii="Cambria" w:hAnsi="Cambria"/>
          <w:color w:val="auto"/>
          <w:u w:val="single"/>
        </w:rPr>
        <w:t>£   300</w:t>
      </w:r>
    </w:p>
    <w:p w14:paraId="28DDD8C9" w14:textId="5047C8B3" w:rsidR="00A01191" w:rsidRPr="00CE48AC" w:rsidRDefault="00A01191" w:rsidP="00A475CB">
      <w:pPr>
        <w:spacing w:before="60" w:after="60" w:line="240" w:lineRule="auto"/>
        <w:rPr>
          <w:rFonts w:ascii="Cambria" w:hAnsi="Cambria"/>
          <w:color w:val="auto"/>
          <w:u w:val="single"/>
        </w:rPr>
      </w:pPr>
      <w:r w:rsidRPr="00CE48AC">
        <w:rPr>
          <w:rFonts w:ascii="Cambria" w:hAnsi="Cambria"/>
          <w:color w:val="auto"/>
        </w:rPr>
        <w:tab/>
      </w:r>
      <w:r w:rsidRPr="00CE48AC">
        <w:rPr>
          <w:rFonts w:ascii="Cambria" w:hAnsi="Cambria"/>
          <w:color w:val="auto"/>
        </w:rPr>
        <w:tab/>
        <w:t>Total</w:t>
      </w:r>
      <w:r w:rsidRPr="00CE48AC">
        <w:rPr>
          <w:rFonts w:ascii="Cambria" w:hAnsi="Cambria"/>
          <w:color w:val="auto"/>
        </w:rPr>
        <w:tab/>
      </w:r>
      <w:r w:rsidRPr="00CE48AC">
        <w:rPr>
          <w:rFonts w:ascii="Cambria" w:hAnsi="Cambria"/>
          <w:color w:val="auto"/>
        </w:rPr>
        <w:tab/>
      </w:r>
      <w:r w:rsidRPr="00CE48AC">
        <w:rPr>
          <w:rFonts w:ascii="Cambria" w:hAnsi="Cambria"/>
          <w:color w:val="auto"/>
        </w:rPr>
        <w:tab/>
      </w:r>
      <w:r w:rsidRPr="00CE48AC">
        <w:rPr>
          <w:rFonts w:ascii="Cambria" w:hAnsi="Cambria"/>
          <w:color w:val="auto"/>
        </w:rPr>
        <w:tab/>
      </w:r>
      <w:r w:rsidRPr="00CE48AC">
        <w:rPr>
          <w:rFonts w:ascii="Cambria" w:hAnsi="Cambria"/>
          <w:color w:val="auto"/>
        </w:rPr>
        <w:tab/>
      </w:r>
      <w:r w:rsidRPr="00CE48AC">
        <w:rPr>
          <w:rFonts w:ascii="Cambria" w:hAnsi="Cambria"/>
          <w:color w:val="auto"/>
          <w:u w:val="single"/>
        </w:rPr>
        <w:t>£3,300</w:t>
      </w:r>
    </w:p>
    <w:p w14:paraId="6CEB5E74" w14:textId="77777777" w:rsidR="00A01191" w:rsidRPr="00CE48AC" w:rsidRDefault="00A01191" w:rsidP="00A475CB">
      <w:pPr>
        <w:spacing w:before="60" w:after="60" w:line="240" w:lineRule="auto"/>
        <w:rPr>
          <w:rFonts w:ascii="Cambria" w:hAnsi="Cambria"/>
          <w:color w:val="auto"/>
          <w:u w:val="single"/>
        </w:rPr>
      </w:pPr>
    </w:p>
    <w:p w14:paraId="557A2BD9" w14:textId="24588CF5" w:rsidR="00A01191" w:rsidRPr="00CE48AC" w:rsidRDefault="00A01191" w:rsidP="00EB76DC">
      <w:pPr>
        <w:spacing w:before="60" w:after="60" w:line="240" w:lineRule="auto"/>
        <w:ind w:left="720" w:firstLine="720"/>
        <w:rPr>
          <w:rFonts w:ascii="Cambria" w:hAnsi="Cambria"/>
          <w:i/>
          <w:color w:val="auto"/>
        </w:rPr>
      </w:pPr>
      <w:r w:rsidRPr="00CE48AC">
        <w:rPr>
          <w:rFonts w:ascii="Cambria" w:hAnsi="Cambria"/>
          <w:i/>
          <w:color w:val="auto"/>
        </w:rPr>
        <w:t xml:space="preserve">His annual fee will be: </w:t>
      </w:r>
    </w:p>
    <w:p w14:paraId="24DA9D06" w14:textId="77777777" w:rsidR="00A01191" w:rsidRPr="00CE48AC" w:rsidRDefault="00A01191" w:rsidP="00A475CB">
      <w:pPr>
        <w:spacing w:before="60" w:after="60" w:line="240" w:lineRule="auto"/>
        <w:rPr>
          <w:rFonts w:ascii="Cambria" w:hAnsi="Cambria"/>
          <w:color w:val="auto"/>
        </w:rPr>
      </w:pPr>
    </w:p>
    <w:p w14:paraId="704EAB2E" w14:textId="03689618" w:rsidR="00A01191" w:rsidRPr="00CE48AC" w:rsidRDefault="00A01191" w:rsidP="00A475CB">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£120,000  x  1.</w:t>
      </w:r>
      <w:r w:rsidR="00B8518B" w:rsidRPr="00CE48AC">
        <w:rPr>
          <w:rFonts w:ascii="Cambria" w:hAnsi="Cambria"/>
          <w:color w:val="auto"/>
        </w:rPr>
        <w:t>50</w:t>
      </w:r>
      <w:r w:rsidRPr="00CE48AC">
        <w:rPr>
          <w:rFonts w:ascii="Cambria" w:hAnsi="Cambria"/>
          <w:color w:val="auto"/>
        </w:rPr>
        <w:t>%</w:t>
      </w:r>
      <w:r w:rsidRPr="00CE48AC">
        <w:rPr>
          <w:rFonts w:ascii="Cambria" w:hAnsi="Cambria"/>
          <w:color w:val="auto"/>
        </w:rPr>
        <w:tab/>
      </w:r>
      <w:r w:rsidRPr="00CE48AC">
        <w:rPr>
          <w:rFonts w:ascii="Cambria" w:hAnsi="Cambria"/>
          <w:color w:val="auto"/>
        </w:rPr>
        <w:tab/>
        <w:t>=</w:t>
      </w:r>
      <w:r w:rsidRPr="00CE48AC">
        <w:rPr>
          <w:rFonts w:ascii="Cambria" w:hAnsi="Cambria"/>
          <w:color w:val="auto"/>
        </w:rPr>
        <w:tab/>
        <w:t>£1,</w:t>
      </w:r>
      <w:r w:rsidR="00B8518B" w:rsidRPr="00CE48AC">
        <w:rPr>
          <w:rFonts w:ascii="Cambria" w:hAnsi="Cambria"/>
          <w:color w:val="auto"/>
        </w:rPr>
        <w:t>800</w:t>
      </w:r>
      <w:r w:rsidR="0021110F" w:rsidRPr="00CE48AC">
        <w:rPr>
          <w:rFonts w:ascii="Cambria" w:hAnsi="Cambria"/>
          <w:color w:val="auto"/>
        </w:rPr>
        <w:t xml:space="preserve"> a year</w:t>
      </w:r>
    </w:p>
    <w:p w14:paraId="64F3ACC3" w14:textId="77777777" w:rsidR="00EB76DC" w:rsidRPr="00CE48AC" w:rsidRDefault="00EB76DC" w:rsidP="00A475CB">
      <w:pPr>
        <w:spacing w:before="60" w:after="60" w:line="240" w:lineRule="auto"/>
        <w:rPr>
          <w:rFonts w:ascii="Cambria" w:hAnsi="Cambria"/>
          <w:i/>
          <w:color w:val="auto"/>
        </w:rPr>
      </w:pPr>
    </w:p>
    <w:p w14:paraId="6EB9AE93" w14:textId="77777777" w:rsidR="007A6FFF" w:rsidRPr="00CE48AC" w:rsidRDefault="007A6FFF" w:rsidP="00A475CB">
      <w:pPr>
        <w:spacing w:before="60" w:after="60" w:line="240" w:lineRule="auto"/>
        <w:rPr>
          <w:rFonts w:ascii="Cambria" w:hAnsi="Cambria"/>
          <w:i/>
          <w:color w:val="auto"/>
        </w:rPr>
      </w:pPr>
    </w:p>
    <w:p w14:paraId="73D2F280" w14:textId="2C1D48C4" w:rsidR="00EB76DC" w:rsidRPr="00CE48AC" w:rsidRDefault="00A01191" w:rsidP="00A475CB">
      <w:pPr>
        <w:spacing w:before="60" w:after="60" w:line="240" w:lineRule="auto"/>
        <w:rPr>
          <w:rFonts w:ascii="Cambria" w:hAnsi="Cambria"/>
          <w:i/>
          <w:color w:val="auto"/>
        </w:rPr>
      </w:pPr>
      <w:r w:rsidRPr="00CE48AC">
        <w:rPr>
          <w:rFonts w:ascii="Cambria" w:hAnsi="Cambria"/>
          <w:i/>
          <w:color w:val="auto"/>
        </w:rPr>
        <w:t>Example 2</w:t>
      </w:r>
      <w:r w:rsidR="00EB76DC" w:rsidRPr="00CE48AC">
        <w:rPr>
          <w:rFonts w:ascii="Cambria" w:hAnsi="Cambria"/>
          <w:i/>
          <w:color w:val="auto"/>
        </w:rPr>
        <w:t>:</w:t>
      </w:r>
      <w:r w:rsidR="00EB76DC" w:rsidRPr="00CE48AC">
        <w:rPr>
          <w:rFonts w:ascii="Cambria" w:hAnsi="Cambria"/>
          <w:i/>
          <w:color w:val="auto"/>
        </w:rPr>
        <w:tab/>
      </w:r>
      <w:r w:rsidRPr="00CE48AC">
        <w:rPr>
          <w:rFonts w:ascii="Cambria" w:hAnsi="Cambria"/>
          <w:i/>
          <w:color w:val="auto"/>
        </w:rPr>
        <w:t>Ms Green has £350,000 to invest</w:t>
      </w:r>
      <w:r w:rsidR="00EB76DC" w:rsidRPr="00CE48AC">
        <w:rPr>
          <w:rFonts w:ascii="Cambria" w:hAnsi="Cambria"/>
          <w:i/>
          <w:color w:val="auto"/>
        </w:rPr>
        <w:t>.  Her initial fee will be:</w:t>
      </w:r>
    </w:p>
    <w:p w14:paraId="76642C2B" w14:textId="77777777" w:rsidR="00EB76DC" w:rsidRPr="00CE48AC" w:rsidRDefault="00EB76DC" w:rsidP="00A475CB">
      <w:pPr>
        <w:spacing w:before="60" w:after="60" w:line="240" w:lineRule="auto"/>
        <w:rPr>
          <w:rFonts w:ascii="Cambria" w:hAnsi="Cambria"/>
          <w:color w:val="auto"/>
        </w:rPr>
      </w:pPr>
    </w:p>
    <w:p w14:paraId="2BBE9614" w14:textId="52C01FF9" w:rsidR="00EB76DC" w:rsidRPr="00CE48AC" w:rsidRDefault="00EB76DC" w:rsidP="00A475CB">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 xml:space="preserve">£100,000  x  3.00% </w:t>
      </w:r>
      <w:r w:rsidRPr="00CE48AC">
        <w:rPr>
          <w:rFonts w:ascii="Cambria" w:hAnsi="Cambria"/>
          <w:color w:val="auto"/>
        </w:rPr>
        <w:tab/>
        <w:t xml:space="preserve"> </w:t>
      </w:r>
      <w:r w:rsidRPr="00CE48AC">
        <w:rPr>
          <w:rFonts w:ascii="Cambria" w:hAnsi="Cambria"/>
          <w:color w:val="auto"/>
        </w:rPr>
        <w:tab/>
        <w:t>=</w:t>
      </w:r>
      <w:r w:rsidRPr="00CE48AC">
        <w:rPr>
          <w:rFonts w:ascii="Cambria" w:hAnsi="Cambria"/>
          <w:color w:val="auto"/>
        </w:rPr>
        <w:tab/>
        <w:t>£3,000</w:t>
      </w:r>
    </w:p>
    <w:p w14:paraId="7E11A195" w14:textId="59EA9ECB" w:rsidR="00A01191" w:rsidRPr="00CE48AC" w:rsidRDefault="00EB76DC" w:rsidP="00A475CB">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 xml:space="preserve">£200,000  x  1.50% </w:t>
      </w:r>
      <w:r w:rsidRPr="00CE48AC">
        <w:rPr>
          <w:rFonts w:ascii="Cambria" w:hAnsi="Cambria"/>
          <w:color w:val="auto"/>
        </w:rPr>
        <w:tab/>
      </w:r>
      <w:r w:rsidRPr="00CE48AC">
        <w:rPr>
          <w:rFonts w:ascii="Cambria" w:hAnsi="Cambria"/>
          <w:color w:val="auto"/>
        </w:rPr>
        <w:tab/>
        <w:t>=</w:t>
      </w:r>
      <w:r w:rsidRPr="00CE48AC">
        <w:rPr>
          <w:rFonts w:ascii="Cambria" w:hAnsi="Cambria"/>
          <w:color w:val="auto"/>
        </w:rPr>
        <w:tab/>
        <w:t>£3,000</w:t>
      </w:r>
    </w:p>
    <w:p w14:paraId="5EBED47D" w14:textId="3B262C55" w:rsidR="00EB76DC" w:rsidRPr="00CE48AC" w:rsidRDefault="00EB76DC" w:rsidP="00A475CB">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£50,000     x  0.75%</w:t>
      </w:r>
      <w:r w:rsidRPr="00CE48AC">
        <w:rPr>
          <w:rFonts w:ascii="Cambria" w:hAnsi="Cambria"/>
          <w:color w:val="auto"/>
        </w:rPr>
        <w:tab/>
      </w:r>
      <w:r w:rsidRPr="00CE48AC">
        <w:rPr>
          <w:rFonts w:ascii="Cambria" w:hAnsi="Cambria"/>
          <w:color w:val="auto"/>
        </w:rPr>
        <w:tab/>
        <w:t>=</w:t>
      </w:r>
      <w:r w:rsidRPr="00CE48AC">
        <w:rPr>
          <w:rFonts w:ascii="Cambria" w:hAnsi="Cambria"/>
          <w:color w:val="auto"/>
        </w:rPr>
        <w:tab/>
      </w:r>
      <w:r w:rsidRPr="00CE48AC">
        <w:rPr>
          <w:rFonts w:ascii="Cambria" w:hAnsi="Cambria"/>
          <w:color w:val="auto"/>
          <w:u w:val="single"/>
        </w:rPr>
        <w:t>£   375</w:t>
      </w:r>
      <w:r w:rsidRPr="00CE48AC">
        <w:rPr>
          <w:rFonts w:ascii="Cambria" w:hAnsi="Cambria"/>
          <w:color w:val="auto"/>
        </w:rPr>
        <w:tab/>
      </w:r>
    </w:p>
    <w:p w14:paraId="427F8AED" w14:textId="03F2441C" w:rsidR="00EB76DC" w:rsidRPr="00CE48AC" w:rsidRDefault="00EB76DC" w:rsidP="00A475CB">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Total</w:t>
      </w:r>
      <w:r w:rsidRPr="00CE48AC">
        <w:rPr>
          <w:rFonts w:ascii="Cambria" w:hAnsi="Cambria"/>
          <w:color w:val="auto"/>
        </w:rPr>
        <w:tab/>
      </w:r>
      <w:r w:rsidRPr="00CE48AC">
        <w:rPr>
          <w:rFonts w:ascii="Cambria" w:hAnsi="Cambria"/>
          <w:color w:val="auto"/>
        </w:rPr>
        <w:tab/>
      </w:r>
      <w:r w:rsidRPr="00CE48AC">
        <w:rPr>
          <w:rFonts w:ascii="Cambria" w:hAnsi="Cambria"/>
          <w:color w:val="auto"/>
        </w:rPr>
        <w:tab/>
      </w:r>
      <w:r w:rsidRPr="00CE48AC">
        <w:rPr>
          <w:rFonts w:ascii="Cambria" w:hAnsi="Cambria"/>
          <w:color w:val="auto"/>
        </w:rPr>
        <w:tab/>
        <w:t>=</w:t>
      </w:r>
      <w:r w:rsidRPr="00CE48AC">
        <w:rPr>
          <w:rFonts w:ascii="Cambria" w:hAnsi="Cambria"/>
          <w:color w:val="auto"/>
        </w:rPr>
        <w:tab/>
        <w:t>£6,375</w:t>
      </w:r>
    </w:p>
    <w:p w14:paraId="58F29216" w14:textId="77777777" w:rsidR="00EB76DC" w:rsidRPr="00CE48AC" w:rsidRDefault="00EB76DC" w:rsidP="00A475CB">
      <w:pPr>
        <w:spacing w:before="60" w:after="60" w:line="240" w:lineRule="auto"/>
        <w:rPr>
          <w:rFonts w:ascii="Cambria" w:hAnsi="Cambria"/>
          <w:color w:val="auto"/>
        </w:rPr>
      </w:pPr>
    </w:p>
    <w:p w14:paraId="30A42618" w14:textId="0F554FD8" w:rsidR="00EB76DC" w:rsidRPr="00CE48AC" w:rsidRDefault="00EB76DC" w:rsidP="00EB76DC">
      <w:pPr>
        <w:spacing w:before="60" w:after="60" w:line="240" w:lineRule="auto"/>
        <w:ind w:left="720" w:firstLine="720"/>
        <w:rPr>
          <w:rFonts w:ascii="Cambria" w:hAnsi="Cambria"/>
          <w:i/>
          <w:color w:val="auto"/>
        </w:rPr>
      </w:pPr>
      <w:r w:rsidRPr="00CE48AC">
        <w:rPr>
          <w:rFonts w:ascii="Cambria" w:hAnsi="Cambria"/>
          <w:i/>
          <w:color w:val="auto"/>
        </w:rPr>
        <w:t xml:space="preserve">Her annual fee will be: </w:t>
      </w:r>
    </w:p>
    <w:p w14:paraId="245635C5" w14:textId="77777777" w:rsidR="00EB76DC" w:rsidRPr="00CE48AC" w:rsidRDefault="00EB76DC" w:rsidP="00EB76DC">
      <w:pPr>
        <w:spacing w:before="60" w:after="60" w:line="240" w:lineRule="auto"/>
        <w:rPr>
          <w:rFonts w:ascii="Cambria" w:hAnsi="Cambria"/>
          <w:color w:val="auto"/>
        </w:rPr>
      </w:pPr>
    </w:p>
    <w:p w14:paraId="1A59923F" w14:textId="100E4B1F" w:rsidR="00EB76DC" w:rsidRPr="00CE48AC" w:rsidRDefault="00EB76DC" w:rsidP="00EB76DC">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w:t>
      </w:r>
      <w:r w:rsidR="00450DD0" w:rsidRPr="00CE48AC">
        <w:rPr>
          <w:rFonts w:ascii="Cambria" w:hAnsi="Cambria"/>
          <w:color w:val="auto"/>
        </w:rPr>
        <w:t>350,000</w:t>
      </w:r>
      <w:r w:rsidRPr="00CE48AC">
        <w:rPr>
          <w:rFonts w:ascii="Cambria" w:hAnsi="Cambria"/>
          <w:color w:val="auto"/>
        </w:rPr>
        <w:t xml:space="preserve">  x  1.</w:t>
      </w:r>
      <w:r w:rsidR="00B8518B" w:rsidRPr="00CE48AC">
        <w:rPr>
          <w:rFonts w:ascii="Cambria" w:hAnsi="Cambria"/>
          <w:color w:val="auto"/>
        </w:rPr>
        <w:t>37</w:t>
      </w:r>
      <w:r w:rsidRPr="00CE48AC">
        <w:rPr>
          <w:rFonts w:ascii="Cambria" w:hAnsi="Cambria"/>
          <w:color w:val="auto"/>
        </w:rPr>
        <w:t>%</w:t>
      </w:r>
      <w:r w:rsidRPr="00CE48AC">
        <w:rPr>
          <w:rFonts w:ascii="Cambria" w:hAnsi="Cambria"/>
          <w:color w:val="auto"/>
        </w:rPr>
        <w:tab/>
      </w:r>
      <w:r w:rsidRPr="00CE48AC">
        <w:rPr>
          <w:rFonts w:ascii="Cambria" w:hAnsi="Cambria"/>
          <w:color w:val="auto"/>
        </w:rPr>
        <w:tab/>
        <w:t>=</w:t>
      </w:r>
      <w:r w:rsidRPr="00CE48AC">
        <w:rPr>
          <w:rFonts w:ascii="Cambria" w:hAnsi="Cambria"/>
          <w:color w:val="auto"/>
        </w:rPr>
        <w:tab/>
        <w:t>£</w:t>
      </w:r>
      <w:r w:rsidR="00450DD0" w:rsidRPr="00CE48AC">
        <w:rPr>
          <w:rFonts w:ascii="Cambria" w:hAnsi="Cambria"/>
          <w:color w:val="auto"/>
        </w:rPr>
        <w:t>4,</w:t>
      </w:r>
      <w:r w:rsidR="00B8518B" w:rsidRPr="00CE48AC">
        <w:rPr>
          <w:rFonts w:ascii="Cambria" w:hAnsi="Cambria"/>
          <w:color w:val="auto"/>
        </w:rPr>
        <w:t>795</w:t>
      </w:r>
      <w:r w:rsidR="00450DD0" w:rsidRPr="00CE48AC">
        <w:rPr>
          <w:rFonts w:ascii="Cambria" w:hAnsi="Cambria"/>
          <w:color w:val="auto"/>
        </w:rPr>
        <w:t xml:space="preserve"> </w:t>
      </w:r>
      <w:r w:rsidRPr="00CE48AC">
        <w:rPr>
          <w:rFonts w:ascii="Cambria" w:hAnsi="Cambria"/>
          <w:color w:val="auto"/>
        </w:rPr>
        <w:t>a year</w:t>
      </w:r>
    </w:p>
    <w:p w14:paraId="794C3FE4" w14:textId="77777777" w:rsidR="00EB76DC" w:rsidRPr="00CE48AC" w:rsidRDefault="00EB76DC" w:rsidP="00EB76DC">
      <w:pPr>
        <w:spacing w:before="60" w:after="60" w:line="240" w:lineRule="auto"/>
        <w:rPr>
          <w:rFonts w:ascii="Cambria" w:hAnsi="Cambria"/>
          <w:color w:val="auto"/>
        </w:rPr>
      </w:pPr>
    </w:p>
    <w:p w14:paraId="7987EDC6" w14:textId="77777777" w:rsidR="007A6FFF" w:rsidRPr="00CE48AC" w:rsidRDefault="007A6FFF" w:rsidP="00EB76DC">
      <w:pPr>
        <w:spacing w:before="60" w:after="60" w:line="240" w:lineRule="auto"/>
        <w:rPr>
          <w:rFonts w:ascii="Cambria" w:hAnsi="Cambria"/>
          <w:color w:val="auto"/>
        </w:rPr>
      </w:pPr>
    </w:p>
    <w:p w14:paraId="53B370C9" w14:textId="577C42AC" w:rsidR="00EB76DC" w:rsidRPr="00CE48AC" w:rsidRDefault="00EB76DC" w:rsidP="00EB76DC">
      <w:pPr>
        <w:spacing w:before="60" w:after="60" w:line="240" w:lineRule="auto"/>
        <w:rPr>
          <w:rFonts w:ascii="Cambria" w:hAnsi="Cambria"/>
          <w:i/>
          <w:color w:val="auto"/>
        </w:rPr>
      </w:pPr>
      <w:r w:rsidRPr="00CE48AC">
        <w:rPr>
          <w:rFonts w:ascii="Cambria" w:hAnsi="Cambria"/>
          <w:i/>
          <w:color w:val="auto"/>
        </w:rPr>
        <w:t>Example 3:</w:t>
      </w:r>
      <w:r w:rsidRPr="00CE48AC">
        <w:rPr>
          <w:rFonts w:ascii="Cambria" w:hAnsi="Cambria"/>
          <w:i/>
          <w:color w:val="auto"/>
        </w:rPr>
        <w:tab/>
        <w:t>Mr &amp; Mrs Pink have £1,325,000 to invest.  Their initial fee will be:</w:t>
      </w:r>
    </w:p>
    <w:p w14:paraId="25FAC303" w14:textId="77777777" w:rsidR="00EB76DC" w:rsidRPr="00CE48AC" w:rsidRDefault="00EB76DC" w:rsidP="00EB76DC">
      <w:pPr>
        <w:spacing w:before="60" w:after="60" w:line="240" w:lineRule="auto"/>
        <w:rPr>
          <w:rFonts w:ascii="Cambria" w:hAnsi="Cambria"/>
          <w:color w:val="auto"/>
        </w:rPr>
      </w:pPr>
    </w:p>
    <w:p w14:paraId="20180476" w14:textId="2814DCDA" w:rsidR="00EB76DC" w:rsidRPr="00CE48AC" w:rsidRDefault="00EB76DC" w:rsidP="00EB76DC">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 xml:space="preserve">£100,000  x  3.00% </w:t>
      </w:r>
      <w:r w:rsidRPr="00CE48AC">
        <w:rPr>
          <w:rFonts w:ascii="Cambria" w:hAnsi="Cambria"/>
          <w:color w:val="auto"/>
        </w:rPr>
        <w:tab/>
        <w:t xml:space="preserve"> </w:t>
      </w:r>
      <w:r w:rsidRPr="00CE48AC">
        <w:rPr>
          <w:rFonts w:ascii="Cambria" w:hAnsi="Cambria"/>
          <w:color w:val="auto"/>
        </w:rPr>
        <w:tab/>
        <w:t>=</w:t>
      </w:r>
      <w:r w:rsidRPr="00CE48AC">
        <w:rPr>
          <w:rFonts w:ascii="Cambria" w:hAnsi="Cambria"/>
          <w:color w:val="auto"/>
        </w:rPr>
        <w:tab/>
        <w:t>£</w:t>
      </w:r>
      <w:r w:rsidR="00604359" w:rsidRPr="00CE48AC">
        <w:rPr>
          <w:rFonts w:ascii="Cambria" w:hAnsi="Cambria"/>
          <w:color w:val="auto"/>
        </w:rPr>
        <w:t xml:space="preserve">   </w:t>
      </w:r>
      <w:r w:rsidRPr="00CE48AC">
        <w:rPr>
          <w:rFonts w:ascii="Cambria" w:hAnsi="Cambria"/>
          <w:color w:val="auto"/>
        </w:rPr>
        <w:t>3,000</w:t>
      </w:r>
    </w:p>
    <w:p w14:paraId="546FE973" w14:textId="4A925D0E" w:rsidR="00EB76DC" w:rsidRPr="00CE48AC" w:rsidRDefault="00EB76DC" w:rsidP="00EB76DC">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 xml:space="preserve">£200,000  x  1.50% </w:t>
      </w:r>
      <w:r w:rsidRPr="00CE48AC">
        <w:rPr>
          <w:rFonts w:ascii="Cambria" w:hAnsi="Cambria"/>
          <w:color w:val="auto"/>
        </w:rPr>
        <w:tab/>
      </w:r>
      <w:r w:rsidRPr="00CE48AC">
        <w:rPr>
          <w:rFonts w:ascii="Cambria" w:hAnsi="Cambria"/>
          <w:color w:val="auto"/>
        </w:rPr>
        <w:tab/>
        <w:t>=</w:t>
      </w:r>
      <w:r w:rsidRPr="00CE48AC">
        <w:rPr>
          <w:rFonts w:ascii="Cambria" w:hAnsi="Cambria"/>
          <w:color w:val="auto"/>
        </w:rPr>
        <w:tab/>
        <w:t>£</w:t>
      </w:r>
      <w:r w:rsidR="00604359" w:rsidRPr="00CE48AC">
        <w:rPr>
          <w:rFonts w:ascii="Cambria" w:hAnsi="Cambria"/>
          <w:color w:val="auto"/>
        </w:rPr>
        <w:t xml:space="preserve">   </w:t>
      </w:r>
      <w:r w:rsidRPr="00CE48AC">
        <w:rPr>
          <w:rFonts w:ascii="Cambria" w:hAnsi="Cambria"/>
          <w:color w:val="auto"/>
        </w:rPr>
        <w:t>3,000</w:t>
      </w:r>
    </w:p>
    <w:p w14:paraId="645BBEA9" w14:textId="6C08C67D" w:rsidR="00EB76DC" w:rsidRPr="00CE48AC" w:rsidRDefault="00EB76DC" w:rsidP="00EB76DC">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£1,025,000    x  0.75%</w:t>
      </w:r>
      <w:r w:rsidRPr="00CE48AC">
        <w:rPr>
          <w:rFonts w:ascii="Cambria" w:hAnsi="Cambria"/>
          <w:color w:val="auto"/>
        </w:rPr>
        <w:tab/>
      </w:r>
      <w:r w:rsidRPr="00CE48AC">
        <w:rPr>
          <w:rFonts w:ascii="Cambria" w:hAnsi="Cambria"/>
          <w:color w:val="auto"/>
        </w:rPr>
        <w:tab/>
        <w:t>=</w:t>
      </w:r>
      <w:r w:rsidRPr="00CE48AC">
        <w:rPr>
          <w:rFonts w:ascii="Cambria" w:hAnsi="Cambria"/>
          <w:color w:val="auto"/>
        </w:rPr>
        <w:tab/>
      </w:r>
      <w:r w:rsidRPr="00CE48AC">
        <w:rPr>
          <w:rFonts w:ascii="Cambria" w:hAnsi="Cambria"/>
          <w:color w:val="auto"/>
          <w:u w:val="single"/>
        </w:rPr>
        <w:t>£</w:t>
      </w:r>
      <w:r w:rsidR="00604359" w:rsidRPr="00CE48AC">
        <w:rPr>
          <w:rFonts w:ascii="Cambria" w:hAnsi="Cambria"/>
          <w:color w:val="auto"/>
          <w:u w:val="single"/>
        </w:rPr>
        <w:t xml:space="preserve">   </w:t>
      </w:r>
      <w:r w:rsidRPr="00CE48AC">
        <w:rPr>
          <w:rFonts w:ascii="Cambria" w:hAnsi="Cambria"/>
          <w:color w:val="auto"/>
          <w:u w:val="single"/>
        </w:rPr>
        <w:t>7,688</w:t>
      </w:r>
      <w:r w:rsidRPr="00CE48AC">
        <w:rPr>
          <w:rFonts w:ascii="Cambria" w:hAnsi="Cambria"/>
          <w:color w:val="auto"/>
        </w:rPr>
        <w:tab/>
      </w:r>
    </w:p>
    <w:p w14:paraId="6F5D0F06" w14:textId="02ADF1E8" w:rsidR="00EB76DC" w:rsidRPr="00CE48AC" w:rsidRDefault="00EB76DC" w:rsidP="00EB76DC">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Total</w:t>
      </w:r>
      <w:r w:rsidRPr="00CE48AC">
        <w:rPr>
          <w:rFonts w:ascii="Cambria" w:hAnsi="Cambria"/>
          <w:color w:val="auto"/>
        </w:rPr>
        <w:tab/>
      </w:r>
      <w:r w:rsidRPr="00CE48AC">
        <w:rPr>
          <w:rFonts w:ascii="Cambria" w:hAnsi="Cambria"/>
          <w:color w:val="auto"/>
        </w:rPr>
        <w:tab/>
      </w:r>
      <w:r w:rsidRPr="00CE48AC">
        <w:rPr>
          <w:rFonts w:ascii="Cambria" w:hAnsi="Cambria"/>
          <w:color w:val="auto"/>
        </w:rPr>
        <w:tab/>
      </w:r>
      <w:r w:rsidRPr="00CE48AC">
        <w:rPr>
          <w:rFonts w:ascii="Cambria" w:hAnsi="Cambria"/>
          <w:color w:val="auto"/>
        </w:rPr>
        <w:tab/>
        <w:t>=</w:t>
      </w:r>
      <w:r w:rsidRPr="00CE48AC">
        <w:rPr>
          <w:rFonts w:ascii="Cambria" w:hAnsi="Cambria"/>
          <w:color w:val="auto"/>
        </w:rPr>
        <w:tab/>
        <w:t>£13,688</w:t>
      </w:r>
    </w:p>
    <w:p w14:paraId="6625FAF0" w14:textId="77777777" w:rsidR="00EB76DC" w:rsidRPr="00CE48AC" w:rsidRDefault="00EB76DC" w:rsidP="00EB76DC">
      <w:pPr>
        <w:spacing w:before="60" w:after="60" w:line="240" w:lineRule="auto"/>
        <w:ind w:left="720" w:firstLine="720"/>
        <w:rPr>
          <w:rFonts w:ascii="Cambria" w:hAnsi="Cambria"/>
          <w:i/>
          <w:color w:val="auto"/>
        </w:rPr>
      </w:pPr>
    </w:p>
    <w:p w14:paraId="60163BA2" w14:textId="54AB062D" w:rsidR="00EB76DC" w:rsidRPr="00CE48AC" w:rsidRDefault="00EB76DC" w:rsidP="00EB76DC">
      <w:pPr>
        <w:spacing w:before="60" w:after="60" w:line="240" w:lineRule="auto"/>
        <w:ind w:left="720" w:firstLine="720"/>
        <w:rPr>
          <w:rFonts w:ascii="Cambria" w:hAnsi="Cambria"/>
          <w:i/>
          <w:color w:val="auto"/>
        </w:rPr>
      </w:pPr>
      <w:r w:rsidRPr="00CE48AC">
        <w:rPr>
          <w:rFonts w:ascii="Cambria" w:hAnsi="Cambria"/>
          <w:i/>
          <w:color w:val="auto"/>
        </w:rPr>
        <w:t xml:space="preserve">Their annual fee will be: </w:t>
      </w:r>
    </w:p>
    <w:p w14:paraId="4FFAA9C4" w14:textId="77777777" w:rsidR="00EB76DC" w:rsidRPr="00CE48AC" w:rsidRDefault="00EB76DC" w:rsidP="00EB76DC">
      <w:pPr>
        <w:spacing w:before="60" w:after="60" w:line="240" w:lineRule="auto"/>
        <w:rPr>
          <w:rFonts w:ascii="Cambria" w:hAnsi="Cambria"/>
          <w:color w:val="auto"/>
        </w:rPr>
      </w:pPr>
    </w:p>
    <w:p w14:paraId="5E4F9DF7" w14:textId="0749051B" w:rsidR="00EB76DC" w:rsidRPr="00CE48AC" w:rsidRDefault="00EB76DC" w:rsidP="00EB76DC">
      <w:pPr>
        <w:spacing w:before="60" w:after="60" w:line="240" w:lineRule="auto"/>
        <w:rPr>
          <w:rFonts w:ascii="Cambria" w:hAnsi="Cambria"/>
          <w:color w:val="auto"/>
        </w:rPr>
      </w:pPr>
      <w:r w:rsidRPr="00CE48AC">
        <w:rPr>
          <w:rFonts w:ascii="Cambria" w:hAnsi="Cambria"/>
          <w:color w:val="auto"/>
        </w:rPr>
        <w:tab/>
      </w:r>
      <w:r w:rsidRPr="00CE48AC">
        <w:rPr>
          <w:rFonts w:ascii="Cambria" w:hAnsi="Cambria"/>
          <w:color w:val="auto"/>
        </w:rPr>
        <w:tab/>
        <w:t>£1</w:t>
      </w:r>
      <w:r w:rsidR="00450DD0" w:rsidRPr="00CE48AC">
        <w:rPr>
          <w:rFonts w:ascii="Cambria" w:hAnsi="Cambria"/>
          <w:color w:val="auto"/>
        </w:rPr>
        <w:t>,325,000</w:t>
      </w:r>
      <w:r w:rsidRPr="00CE48AC">
        <w:rPr>
          <w:rFonts w:ascii="Cambria" w:hAnsi="Cambria"/>
          <w:color w:val="auto"/>
        </w:rPr>
        <w:t xml:space="preserve">  x  </w:t>
      </w:r>
      <w:r w:rsidR="00450DD0" w:rsidRPr="00CE48AC">
        <w:rPr>
          <w:rFonts w:ascii="Cambria" w:hAnsi="Cambria"/>
          <w:color w:val="auto"/>
        </w:rPr>
        <w:t>0</w:t>
      </w:r>
      <w:r w:rsidR="007A6FFF" w:rsidRPr="00CE48AC">
        <w:rPr>
          <w:rFonts w:ascii="Cambria" w:hAnsi="Cambria"/>
          <w:color w:val="auto"/>
        </w:rPr>
        <w:t>.</w:t>
      </w:r>
      <w:r w:rsidR="00B8518B" w:rsidRPr="00CE48AC">
        <w:rPr>
          <w:rFonts w:ascii="Cambria" w:hAnsi="Cambria"/>
          <w:color w:val="auto"/>
        </w:rPr>
        <w:t>85</w:t>
      </w:r>
      <w:r w:rsidRPr="00CE48AC">
        <w:rPr>
          <w:rFonts w:ascii="Cambria" w:hAnsi="Cambria"/>
          <w:color w:val="auto"/>
        </w:rPr>
        <w:t>%</w:t>
      </w:r>
      <w:r w:rsidRPr="00CE48AC">
        <w:rPr>
          <w:rFonts w:ascii="Cambria" w:hAnsi="Cambria"/>
          <w:color w:val="auto"/>
        </w:rPr>
        <w:tab/>
      </w:r>
      <w:r w:rsidRPr="00CE48AC">
        <w:rPr>
          <w:rFonts w:ascii="Cambria" w:hAnsi="Cambria"/>
          <w:color w:val="auto"/>
        </w:rPr>
        <w:tab/>
        <w:t>=</w:t>
      </w:r>
      <w:r w:rsidRPr="00CE48AC">
        <w:rPr>
          <w:rFonts w:ascii="Cambria" w:hAnsi="Cambria"/>
          <w:color w:val="auto"/>
        </w:rPr>
        <w:tab/>
        <w:t>£</w:t>
      </w:r>
      <w:r w:rsidR="00B8518B" w:rsidRPr="00CE48AC">
        <w:rPr>
          <w:rFonts w:ascii="Cambria" w:hAnsi="Cambria"/>
          <w:color w:val="auto"/>
        </w:rPr>
        <w:t>11,313</w:t>
      </w:r>
      <w:r w:rsidRPr="00CE48AC">
        <w:rPr>
          <w:rFonts w:ascii="Cambria" w:hAnsi="Cambria"/>
          <w:color w:val="auto"/>
        </w:rPr>
        <w:t xml:space="preserve"> a year</w:t>
      </w:r>
    </w:p>
    <w:p w14:paraId="4F98C287" w14:textId="73051B6D" w:rsidR="00EB76DC" w:rsidRPr="00CE48AC" w:rsidRDefault="00EB76DC" w:rsidP="008B180E">
      <w:pPr>
        <w:spacing w:before="60" w:after="60" w:line="240" w:lineRule="auto"/>
        <w:rPr>
          <w:rFonts w:ascii="Cambria" w:hAnsi="Cambria"/>
          <w:i/>
          <w:color w:val="auto"/>
        </w:rPr>
      </w:pPr>
      <w:r w:rsidRPr="00CE48AC">
        <w:rPr>
          <w:rFonts w:ascii="Cambria" w:hAnsi="Cambria"/>
          <w:color w:val="auto"/>
        </w:rPr>
        <w:tab/>
      </w:r>
      <w:r w:rsidRPr="00CE48AC">
        <w:rPr>
          <w:rFonts w:ascii="Cambria" w:hAnsi="Cambria"/>
          <w:color w:val="auto"/>
        </w:rPr>
        <w:tab/>
      </w:r>
    </w:p>
    <w:p w14:paraId="7D3C1931" w14:textId="25FA2194" w:rsidR="00EB76DC" w:rsidRPr="00CE48AC" w:rsidRDefault="00EB76DC" w:rsidP="00450DD0">
      <w:pPr>
        <w:spacing w:before="60" w:after="60" w:line="240" w:lineRule="auto"/>
        <w:jc w:val="center"/>
        <w:rPr>
          <w:rFonts w:ascii="Cambria" w:hAnsi="Cambria"/>
          <w:i/>
          <w:color w:val="auto"/>
        </w:rPr>
      </w:pPr>
      <w:r w:rsidRPr="00CE48AC">
        <w:rPr>
          <w:rFonts w:ascii="Cambria" w:hAnsi="Cambria"/>
          <w:i/>
          <w:color w:val="auto"/>
        </w:rPr>
        <w:t>(The annual fee</w:t>
      </w:r>
      <w:r w:rsidR="008B180E" w:rsidRPr="00CE48AC">
        <w:rPr>
          <w:rFonts w:ascii="Cambria" w:hAnsi="Cambria"/>
          <w:i/>
          <w:color w:val="auto"/>
        </w:rPr>
        <w:t>s</w:t>
      </w:r>
      <w:r w:rsidRPr="00CE48AC">
        <w:rPr>
          <w:rFonts w:ascii="Cambria" w:hAnsi="Cambria"/>
          <w:i/>
          <w:color w:val="auto"/>
        </w:rPr>
        <w:t xml:space="preserve"> will fluctuate in line with the value of </w:t>
      </w:r>
      <w:r w:rsidR="008B180E" w:rsidRPr="00CE48AC">
        <w:rPr>
          <w:rFonts w:ascii="Cambria" w:hAnsi="Cambria"/>
          <w:i/>
          <w:color w:val="auto"/>
        </w:rPr>
        <w:t>the</w:t>
      </w:r>
      <w:r w:rsidRPr="00CE48AC">
        <w:rPr>
          <w:rFonts w:ascii="Cambria" w:hAnsi="Cambria"/>
          <w:i/>
          <w:color w:val="auto"/>
        </w:rPr>
        <w:t xml:space="preserve"> investment.)</w:t>
      </w:r>
    </w:p>
    <w:p w14:paraId="2CB480A3" w14:textId="77777777" w:rsidR="00D1460D" w:rsidRPr="00450DD0" w:rsidRDefault="00D1460D" w:rsidP="00450DD0">
      <w:pPr>
        <w:spacing w:before="60" w:after="60" w:line="240" w:lineRule="auto"/>
        <w:jc w:val="center"/>
        <w:rPr>
          <w:rFonts w:ascii="Cambria" w:hAnsi="Cambria"/>
          <w:i/>
          <w:color w:val="auto"/>
        </w:rPr>
      </w:pPr>
    </w:p>
    <w:tbl>
      <w:tblPr>
        <w:tblStyle w:val="TableGrid"/>
        <w:tblW w:w="0" w:type="auto"/>
        <w:shd w:val="clear" w:color="auto" w:fill="DCF1FB" w:themeFill="text2" w:themeFillTint="33"/>
        <w:tblLook w:val="04A0" w:firstRow="1" w:lastRow="0" w:firstColumn="1" w:lastColumn="0" w:noHBand="0" w:noVBand="1"/>
      </w:tblPr>
      <w:tblGrid>
        <w:gridCol w:w="9016"/>
      </w:tblGrid>
      <w:tr w:rsidR="00450DD0" w:rsidRPr="00B70DEF" w14:paraId="11716BBD" w14:textId="77777777" w:rsidTr="004670F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C2C6CA" w:themeFill="accent1" w:themeFillTint="66"/>
          </w:tcPr>
          <w:p w14:paraId="258B26FD" w14:textId="77777777" w:rsidR="00450DD0" w:rsidRPr="00B70DEF" w:rsidRDefault="00450DD0" w:rsidP="004670F0">
            <w:pPr>
              <w:spacing w:before="60" w:after="60"/>
              <w:jc w:val="center"/>
              <w:rPr>
                <w:rFonts w:ascii="Cambria" w:hAnsi="Cambria"/>
                <w:b/>
                <w:color w:val="auto"/>
              </w:rPr>
            </w:pPr>
            <w:r w:rsidRPr="00B70DEF">
              <w:rPr>
                <w:rFonts w:ascii="Cambria" w:hAnsi="Cambria"/>
                <w:b/>
                <w:color w:val="auto"/>
              </w:rPr>
              <w:t>Aggregated Costs and Charges</w:t>
            </w:r>
          </w:p>
          <w:p w14:paraId="66637AF8" w14:textId="5A817116" w:rsidR="00450DD0" w:rsidRPr="00B70DEF" w:rsidRDefault="002A5783" w:rsidP="00FD6EF7">
            <w:pPr>
              <w:spacing w:before="60" w:after="60"/>
              <w:jc w:val="center"/>
              <w:rPr>
                <w:rFonts w:ascii="Cambria" w:eastAsia="Calibri" w:hAnsi="Cambria" w:cs="Times New Roman"/>
                <w:color w:val="auto"/>
                <w:lang w:eastAsia="en-GB"/>
              </w:rPr>
            </w:pPr>
            <w:r>
              <w:rPr>
                <w:rFonts w:ascii="Cambria" w:hAnsi="Cambria"/>
                <w:color w:val="auto"/>
              </w:rPr>
              <w:t xml:space="preserve">Please note that these charges are separate from the charges levied by fund managers, investment platforms and other product providers.  </w:t>
            </w:r>
            <w:r w:rsidR="00FD6EF7">
              <w:rPr>
                <w:rFonts w:ascii="Cambria" w:hAnsi="Cambria"/>
                <w:color w:val="auto"/>
              </w:rPr>
              <w:t>When we advise you, w</w:t>
            </w:r>
            <w:r w:rsidR="00450DD0" w:rsidRPr="00B70DEF">
              <w:rPr>
                <w:rFonts w:ascii="Cambria" w:hAnsi="Cambria"/>
                <w:color w:val="auto"/>
              </w:rPr>
              <w:t>e will add together all the costs and charges payable so that you are able to understand the overall costs of our services and recommendations. This is referred to as aggregated costs and charges information.</w:t>
            </w:r>
          </w:p>
        </w:tc>
      </w:tr>
    </w:tbl>
    <w:p w14:paraId="3EA963B0" w14:textId="588DC199" w:rsidR="00450DD0" w:rsidRPr="00A01191" w:rsidRDefault="00450DD0" w:rsidP="00D1460D">
      <w:pPr>
        <w:rPr>
          <w:rFonts w:ascii="Cambria" w:hAnsi="Cambria"/>
          <w:color w:val="auto"/>
        </w:rPr>
      </w:pPr>
    </w:p>
    <w:sectPr w:rsidR="00450DD0" w:rsidRPr="00A01191" w:rsidSect="00427047">
      <w:headerReference w:type="default" r:id="rId13"/>
      <w:footerReference w:type="default" r:id="rId14"/>
      <w:headerReference w:type="first" r:id="rId15"/>
      <w:footerReference w:type="first" r:id="rId16"/>
      <w:pgSz w:w="11906" w:h="16838"/>
      <w:pgMar w:top="993" w:right="1440" w:bottom="709" w:left="1440" w:header="426"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521E" w14:textId="77777777" w:rsidR="00693DB8" w:rsidRDefault="00693DB8" w:rsidP="00CB08C0">
      <w:pPr>
        <w:spacing w:after="0" w:line="240" w:lineRule="auto"/>
      </w:pPr>
      <w:r>
        <w:separator/>
      </w:r>
    </w:p>
  </w:endnote>
  <w:endnote w:type="continuationSeparator" w:id="0">
    <w:p w14:paraId="3714FCF8" w14:textId="77777777" w:rsidR="00693DB8" w:rsidRDefault="00693DB8" w:rsidP="00CB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202176"/>
      <w:docPartObj>
        <w:docPartGallery w:val="Page Numbers (Bottom of Page)"/>
        <w:docPartUnique/>
      </w:docPartObj>
    </w:sdtPr>
    <w:sdtContent>
      <w:sdt>
        <w:sdtPr>
          <w:id w:val="-1927336721"/>
          <w:docPartObj>
            <w:docPartGallery w:val="Page Numbers (Top of Page)"/>
            <w:docPartUnique/>
          </w:docPartObj>
        </w:sdtPr>
        <w:sdtContent>
          <w:p w14:paraId="3E1C7FDE" w14:textId="706B8E9F" w:rsidR="004A23B1" w:rsidRDefault="00A34958" w:rsidP="00D71CC6">
            <w:pPr>
              <w:pStyle w:val="HeaderandFooterText"/>
              <w:jc w:val="right"/>
            </w:pPr>
            <w:r>
              <w:t>V</w:t>
            </w:r>
            <w:r w:rsidR="00CE48AC">
              <w:t>8</w:t>
            </w:r>
            <w:r w:rsidR="007A28B4">
              <w:t xml:space="preserve"> </w:t>
            </w:r>
            <w:r w:rsidR="00CE48AC">
              <w:t>June</w:t>
            </w:r>
            <w:r>
              <w:t xml:space="preserve"> </w:t>
            </w:r>
            <w:r w:rsidR="007A28B4">
              <w:t>202</w:t>
            </w:r>
            <w:r>
              <w:t>5</w:t>
            </w:r>
            <w:r w:rsidR="008602D8">
              <w:t xml:space="preserve"> </w:t>
            </w:r>
            <w:r w:rsidR="004A23B1">
              <w:t xml:space="preserve">Page </w:t>
            </w:r>
            <w:r w:rsidR="004A23B1">
              <w:rPr>
                <w:sz w:val="24"/>
                <w:szCs w:val="24"/>
              </w:rPr>
              <w:fldChar w:fldCharType="begin"/>
            </w:r>
            <w:r w:rsidR="004A23B1">
              <w:instrText xml:space="preserve"> PAGE </w:instrText>
            </w:r>
            <w:r w:rsidR="004A23B1">
              <w:rPr>
                <w:sz w:val="24"/>
                <w:szCs w:val="24"/>
              </w:rPr>
              <w:fldChar w:fldCharType="separate"/>
            </w:r>
            <w:r w:rsidR="00AE67DB">
              <w:rPr>
                <w:noProof/>
              </w:rPr>
              <w:t>2</w:t>
            </w:r>
            <w:r w:rsidR="004A23B1">
              <w:rPr>
                <w:sz w:val="24"/>
                <w:szCs w:val="24"/>
              </w:rPr>
              <w:fldChar w:fldCharType="end"/>
            </w:r>
            <w:r w:rsidR="004A23B1">
              <w:t xml:space="preserve"> of </w:t>
            </w:r>
            <w:r w:rsidR="004A23B1">
              <w:rPr>
                <w:sz w:val="24"/>
                <w:szCs w:val="24"/>
              </w:rPr>
              <w:fldChar w:fldCharType="begin"/>
            </w:r>
            <w:r w:rsidR="004A23B1">
              <w:instrText xml:space="preserve"> NUMPAGES  </w:instrText>
            </w:r>
            <w:r w:rsidR="004A23B1">
              <w:rPr>
                <w:sz w:val="24"/>
                <w:szCs w:val="24"/>
              </w:rPr>
              <w:fldChar w:fldCharType="separate"/>
            </w:r>
            <w:r w:rsidR="00AE67DB">
              <w:rPr>
                <w:noProof/>
              </w:rPr>
              <w:t>4</w:t>
            </w:r>
            <w:r w:rsidR="004A23B1">
              <w:rPr>
                <w:sz w:val="24"/>
                <w:szCs w:val="24"/>
              </w:rPr>
              <w:fldChar w:fldCharType="end"/>
            </w:r>
          </w:p>
        </w:sdtContent>
      </w:sdt>
    </w:sdtContent>
  </w:sdt>
  <w:p w14:paraId="3E1C7FDF" w14:textId="77777777" w:rsidR="004A23B1" w:rsidRDefault="004A2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240473"/>
      <w:docPartObj>
        <w:docPartGallery w:val="Page Numbers (Bottom of Page)"/>
        <w:docPartUnique/>
      </w:docPartObj>
    </w:sdtPr>
    <w:sdtContent>
      <w:sdt>
        <w:sdtPr>
          <w:id w:val="-787736164"/>
          <w:docPartObj>
            <w:docPartGallery w:val="Page Numbers (Top of Page)"/>
            <w:docPartUnique/>
          </w:docPartObj>
        </w:sdtPr>
        <w:sdtContent>
          <w:p w14:paraId="3E1C7FE1" w14:textId="4C8A16EB" w:rsidR="004A23B1" w:rsidRDefault="004A23B1" w:rsidP="004F4516">
            <w:pPr>
              <w:pStyle w:val="HeaderandFooterText"/>
              <w:jc w:val="right"/>
            </w:pPr>
            <w:r>
              <w:t xml:space="preserve">Page </w:t>
            </w:r>
            <w:r>
              <w:rPr>
                <w:sz w:val="24"/>
                <w:szCs w:val="24"/>
              </w:rPr>
              <w:fldChar w:fldCharType="begin"/>
            </w:r>
            <w:r>
              <w:instrText xml:space="preserve"> PAGE </w:instrText>
            </w:r>
            <w:r>
              <w:rPr>
                <w:sz w:val="24"/>
                <w:szCs w:val="24"/>
              </w:rPr>
              <w:fldChar w:fldCharType="separate"/>
            </w:r>
            <w:r>
              <w:rPr>
                <w:noProof/>
              </w:rPr>
              <w:t>1</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AE67DB">
              <w:rPr>
                <w:noProof/>
              </w:rPr>
              <w:t>4</w:t>
            </w:r>
            <w:r>
              <w:rPr>
                <w:sz w:val="24"/>
                <w:szCs w:val="24"/>
              </w:rPr>
              <w:fldChar w:fldCharType="end"/>
            </w:r>
          </w:p>
        </w:sdtContent>
      </w:sdt>
    </w:sdtContent>
  </w:sdt>
  <w:p w14:paraId="3E1C7FE2" w14:textId="77777777" w:rsidR="004A23B1" w:rsidRDefault="004A23B1" w:rsidP="004F4516">
    <w:pPr>
      <w:pStyle w:val="Headerand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FAE5" w14:textId="77777777" w:rsidR="00693DB8" w:rsidRDefault="00693DB8" w:rsidP="00CB08C0">
      <w:pPr>
        <w:spacing w:after="0" w:line="240" w:lineRule="auto"/>
      </w:pPr>
      <w:r>
        <w:separator/>
      </w:r>
    </w:p>
  </w:footnote>
  <w:footnote w:type="continuationSeparator" w:id="0">
    <w:p w14:paraId="30B01722" w14:textId="77777777" w:rsidR="00693DB8" w:rsidRDefault="00693DB8" w:rsidP="00CB0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7FDD" w14:textId="688CEA4B" w:rsidR="004A23B1" w:rsidRPr="009E429F" w:rsidRDefault="004A23B1" w:rsidP="006E7D71">
    <w:pPr>
      <w:tabs>
        <w:tab w:val="left" w:pos="142"/>
        <w:tab w:val="right" w:pos="9332"/>
      </w:tabs>
      <w:spacing w:before="0" w:after="0" w:line="240" w:lineRule="auto"/>
    </w:pPr>
    <w:r w:rsidRPr="009E429F">
      <w:rPr>
        <w:rFonts w:asciiTheme="minorHAnsi" w:hAnsiTheme="minorHAnsi"/>
        <w:color w:val="auto"/>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7FE0" w14:textId="77777777" w:rsidR="004A23B1" w:rsidRPr="00112298" w:rsidRDefault="004A23B1" w:rsidP="00112298">
    <w:pPr>
      <w:pStyle w:val="HeaderandFooterText"/>
    </w:pPr>
    <w:r w:rsidRPr="004F4516">
      <w:t xml:space="preserve">Document title </w:t>
    </w:r>
    <w:r w:rsidRPr="004F4516">
      <w:tab/>
    </w:r>
    <w:r w:rsidRPr="004F4516">
      <w:tab/>
    </w:r>
    <w:r w:rsidRPr="004F4516">
      <w:tab/>
    </w:r>
    <w:r w:rsidRPr="004F4516">
      <w:tab/>
    </w:r>
    <w:r w:rsidRPr="004F4516">
      <w:tab/>
    </w:r>
    <w:r w:rsidRPr="004F4516">
      <w:tab/>
    </w:r>
    <w:r w:rsidRPr="004F4516">
      <w:tab/>
    </w:r>
    <w:r w:rsidRPr="004F4516">
      <w:tab/>
    </w:r>
    <w:r w:rsidRPr="004F4516">
      <w:tab/>
    </w:r>
    <w:r w:rsidRPr="004F4516">
      <w:tab/>
    </w:r>
    <w:r w:rsidRPr="00112298">
      <w:t xml:space="preserve"> Version /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792"/>
    <w:multiLevelType w:val="hybridMultilevel"/>
    <w:tmpl w:val="A9E2AE7C"/>
    <w:lvl w:ilvl="0" w:tplc="3EDCFBDE">
      <w:start w:val="1"/>
      <w:numFmt w:val="decimal"/>
      <w:pStyle w:val="NumberedHeading2"/>
      <w:lvlText w:val="%1."/>
      <w:lvlJc w:val="left"/>
      <w:pPr>
        <w:ind w:left="-1422" w:hanging="360"/>
      </w:pPr>
      <w:rPr>
        <w:rFonts w:hint="default"/>
      </w:rPr>
    </w:lvl>
    <w:lvl w:ilvl="1" w:tplc="08090019" w:tentative="1">
      <w:start w:val="1"/>
      <w:numFmt w:val="lowerLetter"/>
      <w:lvlText w:val="%2."/>
      <w:lvlJc w:val="left"/>
      <w:pPr>
        <w:ind w:left="-702" w:hanging="360"/>
      </w:pPr>
    </w:lvl>
    <w:lvl w:ilvl="2" w:tplc="0809001B" w:tentative="1">
      <w:start w:val="1"/>
      <w:numFmt w:val="lowerRoman"/>
      <w:lvlText w:val="%3."/>
      <w:lvlJc w:val="right"/>
      <w:pPr>
        <w:ind w:left="18" w:hanging="180"/>
      </w:pPr>
    </w:lvl>
    <w:lvl w:ilvl="3" w:tplc="0809000F" w:tentative="1">
      <w:start w:val="1"/>
      <w:numFmt w:val="decimal"/>
      <w:lvlText w:val="%4."/>
      <w:lvlJc w:val="left"/>
      <w:pPr>
        <w:ind w:left="738" w:hanging="360"/>
      </w:pPr>
    </w:lvl>
    <w:lvl w:ilvl="4" w:tplc="08090019" w:tentative="1">
      <w:start w:val="1"/>
      <w:numFmt w:val="lowerLetter"/>
      <w:lvlText w:val="%5."/>
      <w:lvlJc w:val="left"/>
      <w:pPr>
        <w:ind w:left="1458" w:hanging="360"/>
      </w:pPr>
    </w:lvl>
    <w:lvl w:ilvl="5" w:tplc="0809001B" w:tentative="1">
      <w:start w:val="1"/>
      <w:numFmt w:val="lowerRoman"/>
      <w:lvlText w:val="%6."/>
      <w:lvlJc w:val="right"/>
      <w:pPr>
        <w:ind w:left="2178" w:hanging="180"/>
      </w:pPr>
    </w:lvl>
    <w:lvl w:ilvl="6" w:tplc="0809000F" w:tentative="1">
      <w:start w:val="1"/>
      <w:numFmt w:val="decimal"/>
      <w:lvlText w:val="%7."/>
      <w:lvlJc w:val="left"/>
      <w:pPr>
        <w:ind w:left="2898" w:hanging="360"/>
      </w:pPr>
    </w:lvl>
    <w:lvl w:ilvl="7" w:tplc="08090019" w:tentative="1">
      <w:start w:val="1"/>
      <w:numFmt w:val="lowerLetter"/>
      <w:lvlText w:val="%8."/>
      <w:lvlJc w:val="left"/>
      <w:pPr>
        <w:ind w:left="3618" w:hanging="360"/>
      </w:pPr>
    </w:lvl>
    <w:lvl w:ilvl="8" w:tplc="0809001B" w:tentative="1">
      <w:start w:val="1"/>
      <w:numFmt w:val="lowerRoman"/>
      <w:lvlText w:val="%9."/>
      <w:lvlJc w:val="right"/>
      <w:pPr>
        <w:ind w:left="4338" w:hanging="180"/>
      </w:pPr>
    </w:lvl>
  </w:abstractNum>
  <w:abstractNum w:abstractNumId="1" w15:restartNumberingAfterBreak="0">
    <w:nsid w:val="06D9535F"/>
    <w:multiLevelType w:val="hybridMultilevel"/>
    <w:tmpl w:val="75FC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06EB5"/>
    <w:multiLevelType w:val="hybridMultilevel"/>
    <w:tmpl w:val="720CA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A4DAD"/>
    <w:multiLevelType w:val="hybridMultilevel"/>
    <w:tmpl w:val="7A70B3BA"/>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4" w15:restartNumberingAfterBreak="0">
    <w:nsid w:val="0BAF7399"/>
    <w:multiLevelType w:val="hybridMultilevel"/>
    <w:tmpl w:val="221E1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DB5133"/>
    <w:multiLevelType w:val="hybridMultilevel"/>
    <w:tmpl w:val="B18C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0703D"/>
    <w:multiLevelType w:val="hybridMultilevel"/>
    <w:tmpl w:val="BC9662FA"/>
    <w:lvl w:ilvl="0" w:tplc="B13A8E86">
      <w:start w:val="1"/>
      <w:numFmt w:val="bullet"/>
      <w:pStyle w:val="Bulletlists2"/>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81128"/>
    <w:multiLevelType w:val="hybridMultilevel"/>
    <w:tmpl w:val="CFF68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E9692A"/>
    <w:multiLevelType w:val="hybridMultilevel"/>
    <w:tmpl w:val="A20A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839F0"/>
    <w:multiLevelType w:val="multilevel"/>
    <w:tmpl w:val="415A8094"/>
    <w:numStyleLink w:val="Style1"/>
  </w:abstractNum>
  <w:abstractNum w:abstractNumId="10" w15:restartNumberingAfterBreak="0">
    <w:nsid w:val="2C736D2C"/>
    <w:multiLevelType w:val="hybridMultilevel"/>
    <w:tmpl w:val="F83EF598"/>
    <w:lvl w:ilvl="0" w:tplc="0809001B">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F742E04"/>
    <w:multiLevelType w:val="hybridMultilevel"/>
    <w:tmpl w:val="97C4AE64"/>
    <w:lvl w:ilvl="0" w:tplc="BE0A34BA">
      <w:start w:val="1"/>
      <w:numFmt w:val="lowerLetter"/>
      <w:pStyle w:val="Letteredlists"/>
      <w:lvlText w:val="%1)"/>
      <w:lvlJc w:val="left"/>
      <w:pPr>
        <w:ind w:left="276" w:hanging="360"/>
      </w:pPr>
      <w:rPr>
        <w:rFonts w:hint="default"/>
      </w:rPr>
    </w:lvl>
    <w:lvl w:ilvl="1" w:tplc="08090019">
      <w:start w:val="1"/>
      <w:numFmt w:val="lowerLetter"/>
      <w:lvlText w:val="%2."/>
      <w:lvlJc w:val="left"/>
      <w:pPr>
        <w:ind w:left="996" w:hanging="360"/>
      </w:pPr>
    </w:lvl>
    <w:lvl w:ilvl="2" w:tplc="0809001B">
      <w:start w:val="1"/>
      <w:numFmt w:val="lowerRoman"/>
      <w:lvlText w:val="%3."/>
      <w:lvlJc w:val="right"/>
      <w:pPr>
        <w:ind w:left="1716" w:hanging="180"/>
      </w:pPr>
    </w:lvl>
    <w:lvl w:ilvl="3" w:tplc="0809000F" w:tentative="1">
      <w:start w:val="1"/>
      <w:numFmt w:val="decimal"/>
      <w:lvlText w:val="%4."/>
      <w:lvlJc w:val="left"/>
      <w:pPr>
        <w:ind w:left="2436" w:hanging="360"/>
      </w:pPr>
    </w:lvl>
    <w:lvl w:ilvl="4" w:tplc="08090019" w:tentative="1">
      <w:start w:val="1"/>
      <w:numFmt w:val="lowerLetter"/>
      <w:lvlText w:val="%5."/>
      <w:lvlJc w:val="left"/>
      <w:pPr>
        <w:ind w:left="3156" w:hanging="360"/>
      </w:pPr>
    </w:lvl>
    <w:lvl w:ilvl="5" w:tplc="0809001B" w:tentative="1">
      <w:start w:val="1"/>
      <w:numFmt w:val="lowerRoman"/>
      <w:lvlText w:val="%6."/>
      <w:lvlJc w:val="right"/>
      <w:pPr>
        <w:ind w:left="3876" w:hanging="180"/>
      </w:pPr>
    </w:lvl>
    <w:lvl w:ilvl="6" w:tplc="0809000F" w:tentative="1">
      <w:start w:val="1"/>
      <w:numFmt w:val="decimal"/>
      <w:lvlText w:val="%7."/>
      <w:lvlJc w:val="left"/>
      <w:pPr>
        <w:ind w:left="4596" w:hanging="360"/>
      </w:pPr>
    </w:lvl>
    <w:lvl w:ilvl="7" w:tplc="08090019" w:tentative="1">
      <w:start w:val="1"/>
      <w:numFmt w:val="lowerLetter"/>
      <w:lvlText w:val="%8."/>
      <w:lvlJc w:val="left"/>
      <w:pPr>
        <w:ind w:left="5316" w:hanging="360"/>
      </w:pPr>
    </w:lvl>
    <w:lvl w:ilvl="8" w:tplc="0809001B" w:tentative="1">
      <w:start w:val="1"/>
      <w:numFmt w:val="lowerRoman"/>
      <w:lvlText w:val="%9."/>
      <w:lvlJc w:val="right"/>
      <w:pPr>
        <w:ind w:left="6036" w:hanging="180"/>
      </w:pPr>
    </w:lvl>
  </w:abstractNum>
  <w:abstractNum w:abstractNumId="12" w15:restartNumberingAfterBreak="0">
    <w:nsid w:val="2FEE67EB"/>
    <w:multiLevelType w:val="multilevel"/>
    <w:tmpl w:val="CFACA2F6"/>
    <w:lvl w:ilvl="0">
      <w:start w:val="1"/>
      <w:numFmt w:val="decimal"/>
      <w:pStyle w:val="NumberedList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B236C8"/>
    <w:multiLevelType w:val="hybridMultilevel"/>
    <w:tmpl w:val="64DE3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E62F0F"/>
    <w:multiLevelType w:val="hybridMultilevel"/>
    <w:tmpl w:val="1EE8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15AB2"/>
    <w:multiLevelType w:val="hybridMultilevel"/>
    <w:tmpl w:val="5096E6C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C2393"/>
    <w:multiLevelType w:val="hybridMultilevel"/>
    <w:tmpl w:val="07D6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D3D90"/>
    <w:multiLevelType w:val="hybridMultilevel"/>
    <w:tmpl w:val="1D801214"/>
    <w:lvl w:ilvl="0" w:tplc="F026755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E43265"/>
    <w:multiLevelType w:val="hybridMultilevel"/>
    <w:tmpl w:val="8C44B144"/>
    <w:lvl w:ilvl="0" w:tplc="F0FA344C">
      <w:start w:val="1"/>
      <w:numFmt w:val="decimal"/>
      <w:pStyle w:val="NumberedHeading1"/>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66252E"/>
    <w:multiLevelType w:val="hybridMultilevel"/>
    <w:tmpl w:val="1FAECAB2"/>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F64F20"/>
    <w:multiLevelType w:val="hybridMultilevel"/>
    <w:tmpl w:val="0546C7C2"/>
    <w:lvl w:ilvl="0" w:tplc="0EAC6188">
      <w:start w:val="1"/>
      <w:numFmt w:val="decimal"/>
      <w:pStyle w:val="Numberedheading3"/>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967FCC"/>
    <w:multiLevelType w:val="hybridMultilevel"/>
    <w:tmpl w:val="F63C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548D3"/>
    <w:multiLevelType w:val="hybridMultilevel"/>
    <w:tmpl w:val="AE12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7210B"/>
    <w:multiLevelType w:val="hybridMultilevel"/>
    <w:tmpl w:val="99B2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16FD7"/>
    <w:multiLevelType w:val="hybridMultilevel"/>
    <w:tmpl w:val="B3F8B180"/>
    <w:lvl w:ilvl="0" w:tplc="1FBE2758">
      <w:start w:val="1"/>
      <w:numFmt w:val="bullet"/>
      <w:lvlText w:val=""/>
      <w:lvlJc w:val="left"/>
      <w:pPr>
        <w:ind w:left="419" w:hanging="360"/>
      </w:pPr>
      <w:rPr>
        <w:rFonts w:ascii="Symbol" w:eastAsia="Symbol" w:hAnsi="Symbol" w:hint="default"/>
        <w:sz w:val="22"/>
        <w:szCs w:val="22"/>
      </w:rPr>
    </w:lvl>
    <w:lvl w:ilvl="1" w:tplc="B440AB6C">
      <w:start w:val="1"/>
      <w:numFmt w:val="bullet"/>
      <w:lvlText w:val="•"/>
      <w:lvlJc w:val="left"/>
      <w:pPr>
        <w:ind w:left="711" w:hanging="360"/>
      </w:pPr>
      <w:rPr>
        <w:rFonts w:hint="default"/>
      </w:rPr>
    </w:lvl>
    <w:lvl w:ilvl="2" w:tplc="FDEA8C3E">
      <w:start w:val="1"/>
      <w:numFmt w:val="bullet"/>
      <w:lvlText w:val="•"/>
      <w:lvlJc w:val="left"/>
      <w:pPr>
        <w:ind w:left="1004" w:hanging="360"/>
      </w:pPr>
      <w:rPr>
        <w:rFonts w:hint="default"/>
      </w:rPr>
    </w:lvl>
    <w:lvl w:ilvl="3" w:tplc="BAAE54DE">
      <w:start w:val="1"/>
      <w:numFmt w:val="bullet"/>
      <w:lvlText w:val="•"/>
      <w:lvlJc w:val="left"/>
      <w:pPr>
        <w:ind w:left="1297" w:hanging="360"/>
      </w:pPr>
      <w:rPr>
        <w:rFonts w:hint="default"/>
      </w:rPr>
    </w:lvl>
    <w:lvl w:ilvl="4" w:tplc="418C2BDE">
      <w:start w:val="1"/>
      <w:numFmt w:val="bullet"/>
      <w:lvlText w:val="•"/>
      <w:lvlJc w:val="left"/>
      <w:pPr>
        <w:ind w:left="1590" w:hanging="360"/>
      </w:pPr>
      <w:rPr>
        <w:rFonts w:hint="default"/>
      </w:rPr>
    </w:lvl>
    <w:lvl w:ilvl="5" w:tplc="2C32CBD0">
      <w:start w:val="1"/>
      <w:numFmt w:val="bullet"/>
      <w:lvlText w:val="•"/>
      <w:lvlJc w:val="left"/>
      <w:pPr>
        <w:ind w:left="1883" w:hanging="360"/>
      </w:pPr>
      <w:rPr>
        <w:rFonts w:hint="default"/>
      </w:rPr>
    </w:lvl>
    <w:lvl w:ilvl="6" w:tplc="A0A2FCD0">
      <w:start w:val="1"/>
      <w:numFmt w:val="bullet"/>
      <w:lvlText w:val="•"/>
      <w:lvlJc w:val="left"/>
      <w:pPr>
        <w:ind w:left="2176" w:hanging="360"/>
      </w:pPr>
      <w:rPr>
        <w:rFonts w:hint="default"/>
      </w:rPr>
    </w:lvl>
    <w:lvl w:ilvl="7" w:tplc="4620ABF8">
      <w:start w:val="1"/>
      <w:numFmt w:val="bullet"/>
      <w:lvlText w:val="•"/>
      <w:lvlJc w:val="left"/>
      <w:pPr>
        <w:ind w:left="2469" w:hanging="360"/>
      </w:pPr>
      <w:rPr>
        <w:rFonts w:hint="default"/>
      </w:rPr>
    </w:lvl>
    <w:lvl w:ilvl="8" w:tplc="D0BC5C2A">
      <w:start w:val="1"/>
      <w:numFmt w:val="bullet"/>
      <w:lvlText w:val="•"/>
      <w:lvlJc w:val="left"/>
      <w:pPr>
        <w:ind w:left="2762" w:hanging="360"/>
      </w:pPr>
      <w:rPr>
        <w:rFonts w:hint="default"/>
      </w:rPr>
    </w:lvl>
  </w:abstractNum>
  <w:abstractNum w:abstractNumId="25" w15:restartNumberingAfterBreak="0">
    <w:nsid w:val="75C8580D"/>
    <w:multiLevelType w:val="hybridMultilevel"/>
    <w:tmpl w:val="890C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40234"/>
    <w:multiLevelType w:val="multilevel"/>
    <w:tmpl w:val="415A8094"/>
    <w:styleLink w:val="Style1"/>
    <w:lvl w:ilvl="0">
      <w:start w:val="1"/>
      <w:numFmt w:val="bullet"/>
      <w:pStyle w:val="Bulletlists"/>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7" w15:restartNumberingAfterBreak="0">
    <w:nsid w:val="7AB24665"/>
    <w:multiLevelType w:val="hybridMultilevel"/>
    <w:tmpl w:val="AE50DF40"/>
    <w:lvl w:ilvl="0" w:tplc="3CB09C12">
      <w:start w:val="1"/>
      <w:numFmt w:val="lowerRoman"/>
      <w:pStyle w:val="Letteredlists2"/>
      <w:lvlText w:val="(%1)"/>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B83CF8"/>
    <w:multiLevelType w:val="hybridMultilevel"/>
    <w:tmpl w:val="91503A98"/>
    <w:lvl w:ilvl="0" w:tplc="32C8B2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2700696">
    <w:abstractNumId w:val="0"/>
  </w:num>
  <w:num w:numId="2" w16cid:durableId="1583829361">
    <w:abstractNumId w:val="11"/>
  </w:num>
  <w:num w:numId="3" w16cid:durableId="172762840">
    <w:abstractNumId w:val="27"/>
  </w:num>
  <w:num w:numId="4" w16cid:durableId="1743138238">
    <w:abstractNumId w:val="6"/>
  </w:num>
  <w:num w:numId="5" w16cid:durableId="307364745">
    <w:abstractNumId w:val="20"/>
  </w:num>
  <w:num w:numId="6" w16cid:durableId="1889996229">
    <w:abstractNumId w:val="18"/>
  </w:num>
  <w:num w:numId="7" w16cid:durableId="2143570814">
    <w:abstractNumId w:val="17"/>
  </w:num>
  <w:num w:numId="8" w16cid:durableId="2067602766">
    <w:abstractNumId w:val="12"/>
  </w:num>
  <w:num w:numId="9" w16cid:durableId="923533467">
    <w:abstractNumId w:val="26"/>
  </w:num>
  <w:num w:numId="10" w16cid:durableId="603460349">
    <w:abstractNumId w:val="9"/>
  </w:num>
  <w:num w:numId="11" w16cid:durableId="1632393676">
    <w:abstractNumId w:val="14"/>
  </w:num>
  <w:num w:numId="12" w16cid:durableId="1400787740">
    <w:abstractNumId w:val="15"/>
  </w:num>
  <w:num w:numId="13" w16cid:durableId="1267418819">
    <w:abstractNumId w:val="5"/>
  </w:num>
  <w:num w:numId="14" w16cid:durableId="1304583034">
    <w:abstractNumId w:val="7"/>
  </w:num>
  <w:num w:numId="15" w16cid:durableId="1458060375">
    <w:abstractNumId w:val="13"/>
  </w:num>
  <w:num w:numId="16" w16cid:durableId="2076081565">
    <w:abstractNumId w:val="19"/>
  </w:num>
  <w:num w:numId="17" w16cid:durableId="1588230230">
    <w:abstractNumId w:val="1"/>
  </w:num>
  <w:num w:numId="18" w16cid:durableId="254480406">
    <w:abstractNumId w:val="25"/>
  </w:num>
  <w:num w:numId="19" w16cid:durableId="479426969">
    <w:abstractNumId w:val="4"/>
  </w:num>
  <w:num w:numId="20" w16cid:durableId="365327838">
    <w:abstractNumId w:val="22"/>
  </w:num>
  <w:num w:numId="21" w16cid:durableId="1631933566">
    <w:abstractNumId w:val="8"/>
  </w:num>
  <w:num w:numId="22" w16cid:durableId="1114396826">
    <w:abstractNumId w:val="16"/>
  </w:num>
  <w:num w:numId="23" w16cid:durableId="216942544">
    <w:abstractNumId w:val="21"/>
  </w:num>
  <w:num w:numId="24" w16cid:durableId="814876397">
    <w:abstractNumId w:val="23"/>
  </w:num>
  <w:num w:numId="25" w16cid:durableId="277688476">
    <w:abstractNumId w:val="3"/>
  </w:num>
  <w:num w:numId="26" w16cid:durableId="1941256669">
    <w:abstractNumId w:val="5"/>
  </w:num>
  <w:num w:numId="27" w16cid:durableId="560404836">
    <w:abstractNumId w:val="2"/>
  </w:num>
  <w:num w:numId="28" w16cid:durableId="1963069004">
    <w:abstractNumId w:val="28"/>
  </w:num>
  <w:num w:numId="29" w16cid:durableId="1384213529">
    <w:abstractNumId w:val="10"/>
  </w:num>
  <w:num w:numId="30" w16cid:durableId="15500108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983"/>
    <w:rsid w:val="00000404"/>
    <w:rsid w:val="00005202"/>
    <w:rsid w:val="000114FF"/>
    <w:rsid w:val="0001503C"/>
    <w:rsid w:val="00020FBD"/>
    <w:rsid w:val="000325C3"/>
    <w:rsid w:val="0003418F"/>
    <w:rsid w:val="000358E7"/>
    <w:rsid w:val="000369EB"/>
    <w:rsid w:val="0005100E"/>
    <w:rsid w:val="00052559"/>
    <w:rsid w:val="00052775"/>
    <w:rsid w:val="00052F90"/>
    <w:rsid w:val="0005437F"/>
    <w:rsid w:val="00054551"/>
    <w:rsid w:val="00054C23"/>
    <w:rsid w:val="000563C2"/>
    <w:rsid w:val="00057FDE"/>
    <w:rsid w:val="00060BD4"/>
    <w:rsid w:val="00064D7F"/>
    <w:rsid w:val="0007179D"/>
    <w:rsid w:val="00071B7E"/>
    <w:rsid w:val="00074D5B"/>
    <w:rsid w:val="000758B9"/>
    <w:rsid w:val="00081356"/>
    <w:rsid w:val="00085FC0"/>
    <w:rsid w:val="0009395A"/>
    <w:rsid w:val="000A6D2C"/>
    <w:rsid w:val="000A7E26"/>
    <w:rsid w:val="000B2F4B"/>
    <w:rsid w:val="000B6CFB"/>
    <w:rsid w:val="000C14E4"/>
    <w:rsid w:val="000C2951"/>
    <w:rsid w:val="000C7399"/>
    <w:rsid w:val="000D0B6A"/>
    <w:rsid w:val="000D7881"/>
    <w:rsid w:val="000F3218"/>
    <w:rsid w:val="000F3E45"/>
    <w:rsid w:val="00112298"/>
    <w:rsid w:val="0011406A"/>
    <w:rsid w:val="001169D2"/>
    <w:rsid w:val="001211DE"/>
    <w:rsid w:val="00124470"/>
    <w:rsid w:val="00126812"/>
    <w:rsid w:val="00130486"/>
    <w:rsid w:val="00132127"/>
    <w:rsid w:val="0013498D"/>
    <w:rsid w:val="00140D7F"/>
    <w:rsid w:val="00145369"/>
    <w:rsid w:val="001624C4"/>
    <w:rsid w:val="00164CF7"/>
    <w:rsid w:val="00166856"/>
    <w:rsid w:val="00183524"/>
    <w:rsid w:val="0018612E"/>
    <w:rsid w:val="00193D5D"/>
    <w:rsid w:val="00194A71"/>
    <w:rsid w:val="001A6F54"/>
    <w:rsid w:val="001C01E4"/>
    <w:rsid w:val="001C0BAF"/>
    <w:rsid w:val="001D034E"/>
    <w:rsid w:val="001D1B58"/>
    <w:rsid w:val="001D2BDF"/>
    <w:rsid w:val="001D3444"/>
    <w:rsid w:val="001D3BAE"/>
    <w:rsid w:val="001D4BAE"/>
    <w:rsid w:val="001D4DAE"/>
    <w:rsid w:val="001E6CE2"/>
    <w:rsid w:val="001F151C"/>
    <w:rsid w:val="001F2E67"/>
    <w:rsid w:val="001F3CA5"/>
    <w:rsid w:val="001F61B8"/>
    <w:rsid w:val="001F6CA6"/>
    <w:rsid w:val="001F7C7D"/>
    <w:rsid w:val="00201BB6"/>
    <w:rsid w:val="0021110F"/>
    <w:rsid w:val="0021344E"/>
    <w:rsid w:val="00221D0F"/>
    <w:rsid w:val="002229A0"/>
    <w:rsid w:val="00234898"/>
    <w:rsid w:val="00237004"/>
    <w:rsid w:val="0024665A"/>
    <w:rsid w:val="00246976"/>
    <w:rsid w:val="00255021"/>
    <w:rsid w:val="002602CE"/>
    <w:rsid w:val="00263BBD"/>
    <w:rsid w:val="00267F49"/>
    <w:rsid w:val="00272026"/>
    <w:rsid w:val="00273178"/>
    <w:rsid w:val="00276409"/>
    <w:rsid w:val="002802C5"/>
    <w:rsid w:val="00281CEB"/>
    <w:rsid w:val="00283C00"/>
    <w:rsid w:val="0028409F"/>
    <w:rsid w:val="00296424"/>
    <w:rsid w:val="002A5783"/>
    <w:rsid w:val="002A5E7A"/>
    <w:rsid w:val="002B00DE"/>
    <w:rsid w:val="002B20B1"/>
    <w:rsid w:val="002C1A76"/>
    <w:rsid w:val="002C4026"/>
    <w:rsid w:val="002C5296"/>
    <w:rsid w:val="002C5456"/>
    <w:rsid w:val="002C5707"/>
    <w:rsid w:val="002D5B7B"/>
    <w:rsid w:val="002E0B9C"/>
    <w:rsid w:val="002E0E1D"/>
    <w:rsid w:val="002F0135"/>
    <w:rsid w:val="002F6B2A"/>
    <w:rsid w:val="00306B87"/>
    <w:rsid w:val="0031291F"/>
    <w:rsid w:val="00321DF6"/>
    <w:rsid w:val="0032796A"/>
    <w:rsid w:val="003355BB"/>
    <w:rsid w:val="00342CAA"/>
    <w:rsid w:val="00350285"/>
    <w:rsid w:val="00352BED"/>
    <w:rsid w:val="00362CAF"/>
    <w:rsid w:val="003672D6"/>
    <w:rsid w:val="00376D1E"/>
    <w:rsid w:val="00381DB4"/>
    <w:rsid w:val="003901C2"/>
    <w:rsid w:val="00393949"/>
    <w:rsid w:val="003966AA"/>
    <w:rsid w:val="003A7298"/>
    <w:rsid w:val="003B2A10"/>
    <w:rsid w:val="003B4C12"/>
    <w:rsid w:val="003B78AD"/>
    <w:rsid w:val="003C11EA"/>
    <w:rsid w:val="003C5354"/>
    <w:rsid w:val="003C5F4B"/>
    <w:rsid w:val="003C64DC"/>
    <w:rsid w:val="003C6CB4"/>
    <w:rsid w:val="003C7E83"/>
    <w:rsid w:val="003D294A"/>
    <w:rsid w:val="003D4578"/>
    <w:rsid w:val="003D7562"/>
    <w:rsid w:val="003E50DF"/>
    <w:rsid w:val="003E6CC5"/>
    <w:rsid w:val="003F4FD2"/>
    <w:rsid w:val="003F7FFE"/>
    <w:rsid w:val="00406384"/>
    <w:rsid w:val="00413309"/>
    <w:rsid w:val="00415254"/>
    <w:rsid w:val="00421F5E"/>
    <w:rsid w:val="004242D9"/>
    <w:rsid w:val="00424C26"/>
    <w:rsid w:val="0042613B"/>
    <w:rsid w:val="00427047"/>
    <w:rsid w:val="004343A9"/>
    <w:rsid w:val="00436012"/>
    <w:rsid w:val="00437671"/>
    <w:rsid w:val="0044366C"/>
    <w:rsid w:val="00446909"/>
    <w:rsid w:val="004472DC"/>
    <w:rsid w:val="00450DD0"/>
    <w:rsid w:val="00466065"/>
    <w:rsid w:val="00471275"/>
    <w:rsid w:val="00472B9F"/>
    <w:rsid w:val="00485D10"/>
    <w:rsid w:val="00487E11"/>
    <w:rsid w:val="004962E0"/>
    <w:rsid w:val="004A0356"/>
    <w:rsid w:val="004A23B1"/>
    <w:rsid w:val="004A3B25"/>
    <w:rsid w:val="004B7689"/>
    <w:rsid w:val="004C3E88"/>
    <w:rsid w:val="004C4674"/>
    <w:rsid w:val="004C508F"/>
    <w:rsid w:val="004C66F6"/>
    <w:rsid w:val="004D1B05"/>
    <w:rsid w:val="004D1F28"/>
    <w:rsid w:val="004D2390"/>
    <w:rsid w:val="004D261A"/>
    <w:rsid w:val="004E68E9"/>
    <w:rsid w:val="004F4516"/>
    <w:rsid w:val="004F50A3"/>
    <w:rsid w:val="0050410D"/>
    <w:rsid w:val="00506185"/>
    <w:rsid w:val="00507153"/>
    <w:rsid w:val="005075EC"/>
    <w:rsid w:val="00515870"/>
    <w:rsid w:val="00520580"/>
    <w:rsid w:val="00521BC0"/>
    <w:rsid w:val="00530B8E"/>
    <w:rsid w:val="005366E0"/>
    <w:rsid w:val="00536946"/>
    <w:rsid w:val="0054118B"/>
    <w:rsid w:val="00545C7C"/>
    <w:rsid w:val="00545CC7"/>
    <w:rsid w:val="0054665B"/>
    <w:rsid w:val="005534A6"/>
    <w:rsid w:val="00563945"/>
    <w:rsid w:val="005679D1"/>
    <w:rsid w:val="005711F3"/>
    <w:rsid w:val="00580630"/>
    <w:rsid w:val="0058642C"/>
    <w:rsid w:val="005943E7"/>
    <w:rsid w:val="005952FF"/>
    <w:rsid w:val="005957AF"/>
    <w:rsid w:val="0059603D"/>
    <w:rsid w:val="005A04AE"/>
    <w:rsid w:val="005A13EC"/>
    <w:rsid w:val="005A25AC"/>
    <w:rsid w:val="005A5942"/>
    <w:rsid w:val="005B1851"/>
    <w:rsid w:val="005B3967"/>
    <w:rsid w:val="005B630F"/>
    <w:rsid w:val="005B76CB"/>
    <w:rsid w:val="005C3F58"/>
    <w:rsid w:val="005C69D1"/>
    <w:rsid w:val="005D1CF7"/>
    <w:rsid w:val="005E369D"/>
    <w:rsid w:val="005E409F"/>
    <w:rsid w:val="005F152B"/>
    <w:rsid w:val="005F2377"/>
    <w:rsid w:val="005F2F95"/>
    <w:rsid w:val="005F5D55"/>
    <w:rsid w:val="005F5E37"/>
    <w:rsid w:val="005F62AA"/>
    <w:rsid w:val="0060039D"/>
    <w:rsid w:val="00604359"/>
    <w:rsid w:val="00610482"/>
    <w:rsid w:val="006128F7"/>
    <w:rsid w:val="0061651C"/>
    <w:rsid w:val="0062272B"/>
    <w:rsid w:val="006257F1"/>
    <w:rsid w:val="00632A1D"/>
    <w:rsid w:val="00633448"/>
    <w:rsid w:val="00645197"/>
    <w:rsid w:val="00657D64"/>
    <w:rsid w:val="006626CC"/>
    <w:rsid w:val="006660B4"/>
    <w:rsid w:val="0066673E"/>
    <w:rsid w:val="00672A21"/>
    <w:rsid w:val="00675D1A"/>
    <w:rsid w:val="00680CD0"/>
    <w:rsid w:val="00682E3C"/>
    <w:rsid w:val="00693AEB"/>
    <w:rsid w:val="00693DB8"/>
    <w:rsid w:val="006953A1"/>
    <w:rsid w:val="0069694C"/>
    <w:rsid w:val="006A12F5"/>
    <w:rsid w:val="006A4C38"/>
    <w:rsid w:val="006B5933"/>
    <w:rsid w:val="006B5A41"/>
    <w:rsid w:val="006B656A"/>
    <w:rsid w:val="006C05FB"/>
    <w:rsid w:val="006C3CEC"/>
    <w:rsid w:val="006D083B"/>
    <w:rsid w:val="006E0653"/>
    <w:rsid w:val="006E21FA"/>
    <w:rsid w:val="006E2688"/>
    <w:rsid w:val="006E67C0"/>
    <w:rsid w:val="006E7D71"/>
    <w:rsid w:val="006E7EFE"/>
    <w:rsid w:val="00702FED"/>
    <w:rsid w:val="00705EAB"/>
    <w:rsid w:val="007119F1"/>
    <w:rsid w:val="00716C26"/>
    <w:rsid w:val="0072192C"/>
    <w:rsid w:val="00730A95"/>
    <w:rsid w:val="00730F81"/>
    <w:rsid w:val="007350DD"/>
    <w:rsid w:val="00737B60"/>
    <w:rsid w:val="00745B0F"/>
    <w:rsid w:val="00771D45"/>
    <w:rsid w:val="0077314F"/>
    <w:rsid w:val="007800AB"/>
    <w:rsid w:val="00780548"/>
    <w:rsid w:val="0078110C"/>
    <w:rsid w:val="00797C79"/>
    <w:rsid w:val="007A141C"/>
    <w:rsid w:val="007A28B4"/>
    <w:rsid w:val="007A6FFF"/>
    <w:rsid w:val="007C2443"/>
    <w:rsid w:val="007D2909"/>
    <w:rsid w:val="007D3401"/>
    <w:rsid w:val="007D3CE5"/>
    <w:rsid w:val="007D514E"/>
    <w:rsid w:val="007E0E0E"/>
    <w:rsid w:val="007E1E76"/>
    <w:rsid w:val="007E4C89"/>
    <w:rsid w:val="007F457F"/>
    <w:rsid w:val="007F47B6"/>
    <w:rsid w:val="00806762"/>
    <w:rsid w:val="00807967"/>
    <w:rsid w:val="00811617"/>
    <w:rsid w:val="00812125"/>
    <w:rsid w:val="00815C83"/>
    <w:rsid w:val="00817551"/>
    <w:rsid w:val="00824BC7"/>
    <w:rsid w:val="00831017"/>
    <w:rsid w:val="00833F3C"/>
    <w:rsid w:val="00834F84"/>
    <w:rsid w:val="00837E10"/>
    <w:rsid w:val="008427F8"/>
    <w:rsid w:val="0084343E"/>
    <w:rsid w:val="0084637C"/>
    <w:rsid w:val="00847A40"/>
    <w:rsid w:val="00851A13"/>
    <w:rsid w:val="00853623"/>
    <w:rsid w:val="008602D8"/>
    <w:rsid w:val="008606B7"/>
    <w:rsid w:val="008617FD"/>
    <w:rsid w:val="00863D7F"/>
    <w:rsid w:val="008650A2"/>
    <w:rsid w:val="008677A3"/>
    <w:rsid w:val="008706A5"/>
    <w:rsid w:val="00875887"/>
    <w:rsid w:val="00877BEF"/>
    <w:rsid w:val="0088487D"/>
    <w:rsid w:val="00885387"/>
    <w:rsid w:val="00891770"/>
    <w:rsid w:val="008A2A44"/>
    <w:rsid w:val="008B0235"/>
    <w:rsid w:val="008B180E"/>
    <w:rsid w:val="008B270B"/>
    <w:rsid w:val="008C3E15"/>
    <w:rsid w:val="008D403E"/>
    <w:rsid w:val="008D6DE3"/>
    <w:rsid w:val="008D75EA"/>
    <w:rsid w:val="008E0F4B"/>
    <w:rsid w:val="008E2208"/>
    <w:rsid w:val="008F1E54"/>
    <w:rsid w:val="008F32A1"/>
    <w:rsid w:val="008F3EB2"/>
    <w:rsid w:val="008F617A"/>
    <w:rsid w:val="00902FF0"/>
    <w:rsid w:val="0091068B"/>
    <w:rsid w:val="009141E3"/>
    <w:rsid w:val="00923AF9"/>
    <w:rsid w:val="00925B40"/>
    <w:rsid w:val="009268E6"/>
    <w:rsid w:val="009464D9"/>
    <w:rsid w:val="00950418"/>
    <w:rsid w:val="0095164C"/>
    <w:rsid w:val="009566B2"/>
    <w:rsid w:val="00962392"/>
    <w:rsid w:val="00964E61"/>
    <w:rsid w:val="0097162B"/>
    <w:rsid w:val="009729B5"/>
    <w:rsid w:val="009762E0"/>
    <w:rsid w:val="00982C93"/>
    <w:rsid w:val="009836D2"/>
    <w:rsid w:val="00984EAE"/>
    <w:rsid w:val="00985C36"/>
    <w:rsid w:val="00990291"/>
    <w:rsid w:val="00991087"/>
    <w:rsid w:val="009A369A"/>
    <w:rsid w:val="009A4EBA"/>
    <w:rsid w:val="009A4EEB"/>
    <w:rsid w:val="009B114E"/>
    <w:rsid w:val="009B7E3C"/>
    <w:rsid w:val="009C2175"/>
    <w:rsid w:val="009D25F0"/>
    <w:rsid w:val="009D4C4E"/>
    <w:rsid w:val="009D5D56"/>
    <w:rsid w:val="009E1AB4"/>
    <w:rsid w:val="009E429F"/>
    <w:rsid w:val="009F77CC"/>
    <w:rsid w:val="009F7C5A"/>
    <w:rsid w:val="00A01191"/>
    <w:rsid w:val="00A1304C"/>
    <w:rsid w:val="00A16C77"/>
    <w:rsid w:val="00A203C5"/>
    <w:rsid w:val="00A26F75"/>
    <w:rsid w:val="00A31450"/>
    <w:rsid w:val="00A31B5E"/>
    <w:rsid w:val="00A34958"/>
    <w:rsid w:val="00A4079D"/>
    <w:rsid w:val="00A40882"/>
    <w:rsid w:val="00A475CB"/>
    <w:rsid w:val="00A520FB"/>
    <w:rsid w:val="00A5435F"/>
    <w:rsid w:val="00A62BBB"/>
    <w:rsid w:val="00A62D78"/>
    <w:rsid w:val="00A70962"/>
    <w:rsid w:val="00A70E56"/>
    <w:rsid w:val="00A7382E"/>
    <w:rsid w:val="00A8017A"/>
    <w:rsid w:val="00A81A78"/>
    <w:rsid w:val="00A9781C"/>
    <w:rsid w:val="00AA18A5"/>
    <w:rsid w:val="00AA2914"/>
    <w:rsid w:val="00AA472B"/>
    <w:rsid w:val="00AB1F16"/>
    <w:rsid w:val="00AB5252"/>
    <w:rsid w:val="00AC0E1A"/>
    <w:rsid w:val="00AD678D"/>
    <w:rsid w:val="00AE02FA"/>
    <w:rsid w:val="00AE67DB"/>
    <w:rsid w:val="00AE6E37"/>
    <w:rsid w:val="00AE6F55"/>
    <w:rsid w:val="00AF0D94"/>
    <w:rsid w:val="00AF5F69"/>
    <w:rsid w:val="00B03AD0"/>
    <w:rsid w:val="00B0651C"/>
    <w:rsid w:val="00B07695"/>
    <w:rsid w:val="00B11659"/>
    <w:rsid w:val="00B119A0"/>
    <w:rsid w:val="00B12A88"/>
    <w:rsid w:val="00B16F1E"/>
    <w:rsid w:val="00B24C7D"/>
    <w:rsid w:val="00B25991"/>
    <w:rsid w:val="00B32EF3"/>
    <w:rsid w:val="00B335A5"/>
    <w:rsid w:val="00B34F26"/>
    <w:rsid w:val="00B377A4"/>
    <w:rsid w:val="00B42CD1"/>
    <w:rsid w:val="00B54C47"/>
    <w:rsid w:val="00B54FAC"/>
    <w:rsid w:val="00B56964"/>
    <w:rsid w:val="00B5705C"/>
    <w:rsid w:val="00B70DEF"/>
    <w:rsid w:val="00B73796"/>
    <w:rsid w:val="00B84B3A"/>
    <w:rsid w:val="00B8518B"/>
    <w:rsid w:val="00B85786"/>
    <w:rsid w:val="00BA3983"/>
    <w:rsid w:val="00BA656E"/>
    <w:rsid w:val="00BA74C3"/>
    <w:rsid w:val="00BB1AEE"/>
    <w:rsid w:val="00BB22F6"/>
    <w:rsid w:val="00BC0C54"/>
    <w:rsid w:val="00BC3EE1"/>
    <w:rsid w:val="00BC46A2"/>
    <w:rsid w:val="00BC7392"/>
    <w:rsid w:val="00BD210D"/>
    <w:rsid w:val="00BD3800"/>
    <w:rsid w:val="00BE0595"/>
    <w:rsid w:val="00BE6F79"/>
    <w:rsid w:val="00C04663"/>
    <w:rsid w:val="00C049E0"/>
    <w:rsid w:val="00C0531C"/>
    <w:rsid w:val="00C11852"/>
    <w:rsid w:val="00C12E35"/>
    <w:rsid w:val="00C14771"/>
    <w:rsid w:val="00C1551E"/>
    <w:rsid w:val="00C22C69"/>
    <w:rsid w:val="00C22DAE"/>
    <w:rsid w:val="00C2694E"/>
    <w:rsid w:val="00C31E01"/>
    <w:rsid w:val="00C378B9"/>
    <w:rsid w:val="00C37E37"/>
    <w:rsid w:val="00C46FC3"/>
    <w:rsid w:val="00C50995"/>
    <w:rsid w:val="00C50E09"/>
    <w:rsid w:val="00C5377A"/>
    <w:rsid w:val="00C54DBE"/>
    <w:rsid w:val="00C56C7E"/>
    <w:rsid w:val="00C6354D"/>
    <w:rsid w:val="00C64D3D"/>
    <w:rsid w:val="00C67730"/>
    <w:rsid w:val="00C72CA4"/>
    <w:rsid w:val="00C73E74"/>
    <w:rsid w:val="00C74615"/>
    <w:rsid w:val="00C76B4A"/>
    <w:rsid w:val="00C7785D"/>
    <w:rsid w:val="00C8409F"/>
    <w:rsid w:val="00C84A00"/>
    <w:rsid w:val="00C87B37"/>
    <w:rsid w:val="00CA69F0"/>
    <w:rsid w:val="00CB08C0"/>
    <w:rsid w:val="00CB466F"/>
    <w:rsid w:val="00CB527B"/>
    <w:rsid w:val="00CB5D37"/>
    <w:rsid w:val="00CC7EE0"/>
    <w:rsid w:val="00CD0C66"/>
    <w:rsid w:val="00CD0EC1"/>
    <w:rsid w:val="00CD3E8B"/>
    <w:rsid w:val="00CE10EE"/>
    <w:rsid w:val="00CE255E"/>
    <w:rsid w:val="00CE48AC"/>
    <w:rsid w:val="00CE4A1B"/>
    <w:rsid w:val="00CE7BCD"/>
    <w:rsid w:val="00CF436B"/>
    <w:rsid w:val="00CF7BE8"/>
    <w:rsid w:val="00D041B8"/>
    <w:rsid w:val="00D0715A"/>
    <w:rsid w:val="00D1460D"/>
    <w:rsid w:val="00D16A0A"/>
    <w:rsid w:val="00D16EA5"/>
    <w:rsid w:val="00D22E4D"/>
    <w:rsid w:val="00D31CEA"/>
    <w:rsid w:val="00D32C55"/>
    <w:rsid w:val="00D40102"/>
    <w:rsid w:val="00D5238A"/>
    <w:rsid w:val="00D53866"/>
    <w:rsid w:val="00D64A78"/>
    <w:rsid w:val="00D65396"/>
    <w:rsid w:val="00D65FF6"/>
    <w:rsid w:val="00D71CC6"/>
    <w:rsid w:val="00D74B87"/>
    <w:rsid w:val="00D76E2B"/>
    <w:rsid w:val="00D81BF3"/>
    <w:rsid w:val="00D87154"/>
    <w:rsid w:val="00D901EE"/>
    <w:rsid w:val="00D950AC"/>
    <w:rsid w:val="00D96F15"/>
    <w:rsid w:val="00DA76C4"/>
    <w:rsid w:val="00DB05AB"/>
    <w:rsid w:val="00DC180F"/>
    <w:rsid w:val="00DC25B1"/>
    <w:rsid w:val="00DC2712"/>
    <w:rsid w:val="00DC2F28"/>
    <w:rsid w:val="00DC3D50"/>
    <w:rsid w:val="00DC41B9"/>
    <w:rsid w:val="00DC41E2"/>
    <w:rsid w:val="00DC47AB"/>
    <w:rsid w:val="00DC5386"/>
    <w:rsid w:val="00DC5F39"/>
    <w:rsid w:val="00DD7933"/>
    <w:rsid w:val="00DE7759"/>
    <w:rsid w:val="00DE7938"/>
    <w:rsid w:val="00E0638F"/>
    <w:rsid w:val="00E063B2"/>
    <w:rsid w:val="00E07BC7"/>
    <w:rsid w:val="00E10707"/>
    <w:rsid w:val="00E135DC"/>
    <w:rsid w:val="00E153CD"/>
    <w:rsid w:val="00E201C0"/>
    <w:rsid w:val="00E2528C"/>
    <w:rsid w:val="00E264BD"/>
    <w:rsid w:val="00E267F7"/>
    <w:rsid w:val="00E3165F"/>
    <w:rsid w:val="00E31E90"/>
    <w:rsid w:val="00E36B4E"/>
    <w:rsid w:val="00E4580D"/>
    <w:rsid w:val="00E4593A"/>
    <w:rsid w:val="00E533B2"/>
    <w:rsid w:val="00E56599"/>
    <w:rsid w:val="00E61B1C"/>
    <w:rsid w:val="00E61E3F"/>
    <w:rsid w:val="00E66B12"/>
    <w:rsid w:val="00E67252"/>
    <w:rsid w:val="00E7183A"/>
    <w:rsid w:val="00E72AAF"/>
    <w:rsid w:val="00E73177"/>
    <w:rsid w:val="00E73209"/>
    <w:rsid w:val="00E74FA9"/>
    <w:rsid w:val="00E80EB8"/>
    <w:rsid w:val="00E86CAF"/>
    <w:rsid w:val="00E95AC1"/>
    <w:rsid w:val="00EA38CF"/>
    <w:rsid w:val="00EA3CB6"/>
    <w:rsid w:val="00EB3328"/>
    <w:rsid w:val="00EB51B2"/>
    <w:rsid w:val="00EB76DC"/>
    <w:rsid w:val="00EB7941"/>
    <w:rsid w:val="00EC0B4B"/>
    <w:rsid w:val="00ED142F"/>
    <w:rsid w:val="00ED71AC"/>
    <w:rsid w:val="00EF05F3"/>
    <w:rsid w:val="00EF1959"/>
    <w:rsid w:val="00EF2436"/>
    <w:rsid w:val="00EF27B6"/>
    <w:rsid w:val="00F04A7A"/>
    <w:rsid w:val="00F15599"/>
    <w:rsid w:val="00F21CC9"/>
    <w:rsid w:val="00F30565"/>
    <w:rsid w:val="00F30B1B"/>
    <w:rsid w:val="00F31D51"/>
    <w:rsid w:val="00F333D7"/>
    <w:rsid w:val="00F43345"/>
    <w:rsid w:val="00F445DE"/>
    <w:rsid w:val="00F61DD0"/>
    <w:rsid w:val="00F61DFF"/>
    <w:rsid w:val="00F62526"/>
    <w:rsid w:val="00F6338B"/>
    <w:rsid w:val="00F707DA"/>
    <w:rsid w:val="00F717D9"/>
    <w:rsid w:val="00F7204B"/>
    <w:rsid w:val="00F77876"/>
    <w:rsid w:val="00F8211B"/>
    <w:rsid w:val="00F850C7"/>
    <w:rsid w:val="00FA3A98"/>
    <w:rsid w:val="00FA4568"/>
    <w:rsid w:val="00FA5334"/>
    <w:rsid w:val="00FA5F26"/>
    <w:rsid w:val="00FB25DF"/>
    <w:rsid w:val="00FC3705"/>
    <w:rsid w:val="00FC5A64"/>
    <w:rsid w:val="00FC6041"/>
    <w:rsid w:val="00FC79FB"/>
    <w:rsid w:val="00FC7DDF"/>
    <w:rsid w:val="00FD2427"/>
    <w:rsid w:val="00FD2CE6"/>
    <w:rsid w:val="00FD455F"/>
    <w:rsid w:val="00FD6EF7"/>
    <w:rsid w:val="00FD73BD"/>
    <w:rsid w:val="00FE358A"/>
    <w:rsid w:val="00FE373F"/>
    <w:rsid w:val="00FE41BF"/>
    <w:rsid w:val="00FE6350"/>
    <w:rsid w:val="00FF1DC1"/>
    <w:rsid w:val="00FF415C"/>
    <w:rsid w:val="00FF5AF0"/>
    <w:rsid w:val="00FF6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C7EE5"/>
  <w15:chartTrackingRefBased/>
  <w15:docId w15:val="{4E9A9DB2-9D33-4E99-B24A-D0943C12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04040" w:themeColor="text1" w:themeTint="BF"/>
        <w:sz w:val="22"/>
        <w:szCs w:val="22"/>
        <w:lang w:val="en-GB"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1"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3800"/>
  </w:style>
  <w:style w:type="paragraph" w:styleId="Heading1">
    <w:name w:val="heading 1"/>
    <w:basedOn w:val="Normal"/>
    <w:next w:val="Normal"/>
    <w:link w:val="Heading1Char"/>
    <w:uiPriority w:val="9"/>
    <w:qFormat/>
    <w:rsid w:val="00E264BD"/>
    <w:pPr>
      <w:keepNext/>
      <w:keepLines/>
      <w:spacing w:before="240"/>
      <w:outlineLvl w:val="0"/>
    </w:pPr>
    <w:rPr>
      <w:rFonts w:asciiTheme="majorHAnsi" w:eastAsia="Times New Roman" w:hAnsiTheme="majorHAnsi" w:cstheme="majorBidi"/>
      <w:color w:val="2E74B5"/>
      <w:sz w:val="32"/>
      <w:szCs w:val="32"/>
      <w:lang w:val="en" w:eastAsia="en-GB"/>
    </w:rPr>
  </w:style>
  <w:style w:type="paragraph" w:styleId="Heading2">
    <w:name w:val="heading 2"/>
    <w:basedOn w:val="Normal"/>
    <w:next w:val="Normal"/>
    <w:link w:val="Heading2Char"/>
    <w:uiPriority w:val="9"/>
    <w:unhideWhenUsed/>
    <w:qFormat/>
    <w:rsid w:val="004C4674"/>
    <w:pPr>
      <w:keepNext/>
      <w:keepLines/>
      <w:spacing w:before="240"/>
      <w:outlineLvl w:val="1"/>
    </w:pPr>
    <w:rPr>
      <w:rFonts w:asciiTheme="majorHAnsi" w:eastAsiaTheme="majorEastAsia" w:hAnsiTheme="majorHAnsi" w:cstheme="majorBidi"/>
      <w:color w:val="2E74B5"/>
      <w:sz w:val="26"/>
      <w:szCs w:val="26"/>
    </w:rPr>
  </w:style>
  <w:style w:type="paragraph" w:styleId="Heading3">
    <w:name w:val="heading 3"/>
    <w:basedOn w:val="04Maintext"/>
    <w:next w:val="Normal"/>
    <w:link w:val="Heading3Char"/>
    <w:uiPriority w:val="9"/>
    <w:unhideWhenUsed/>
    <w:qFormat/>
    <w:rsid w:val="004C4674"/>
    <w:pPr>
      <w:spacing w:before="240"/>
      <w:outlineLvl w:val="2"/>
    </w:pPr>
    <w:rPr>
      <w:b/>
    </w:rPr>
  </w:style>
  <w:style w:type="paragraph" w:styleId="Heading4">
    <w:name w:val="heading 4"/>
    <w:basedOn w:val="04Maintext"/>
    <w:next w:val="Normal"/>
    <w:link w:val="Heading4Char"/>
    <w:uiPriority w:val="9"/>
    <w:unhideWhenUsed/>
    <w:qFormat/>
    <w:rsid w:val="001D4DAE"/>
    <w:pPr>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617"/>
    <w:rPr>
      <w:rFonts w:ascii="Segoe UI" w:hAnsi="Segoe UI" w:cs="Segoe UI"/>
      <w:sz w:val="18"/>
      <w:szCs w:val="18"/>
    </w:rPr>
  </w:style>
  <w:style w:type="character" w:styleId="Hyperlink">
    <w:name w:val="Hyperlink"/>
    <w:basedOn w:val="DefaultParagraphFont"/>
    <w:uiPriority w:val="99"/>
    <w:unhideWhenUsed/>
    <w:qFormat/>
    <w:rsid w:val="00BC0C54"/>
    <w:rPr>
      <w:color w:val="0000FF" w:themeColor="hyperlink"/>
    </w:rPr>
  </w:style>
  <w:style w:type="paragraph" w:styleId="ListParagraph">
    <w:name w:val="List Paragraph"/>
    <w:basedOn w:val="Normal"/>
    <w:link w:val="ListParagraphChar"/>
    <w:uiPriority w:val="34"/>
    <w:qFormat/>
    <w:locked/>
    <w:rsid w:val="00902FF0"/>
    <w:pPr>
      <w:ind w:left="720"/>
      <w:contextualSpacing/>
    </w:pPr>
  </w:style>
  <w:style w:type="paragraph" w:styleId="Header">
    <w:name w:val="header"/>
    <w:basedOn w:val="Normal"/>
    <w:link w:val="HeaderChar"/>
    <w:uiPriority w:val="99"/>
    <w:unhideWhenUsed/>
    <w:rsid w:val="00CB0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8C0"/>
  </w:style>
  <w:style w:type="paragraph" w:styleId="Footer">
    <w:name w:val="footer"/>
    <w:basedOn w:val="Normal"/>
    <w:link w:val="FooterChar"/>
    <w:uiPriority w:val="99"/>
    <w:unhideWhenUsed/>
    <w:rsid w:val="00CB0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8C0"/>
  </w:style>
  <w:style w:type="character" w:styleId="Strong">
    <w:name w:val="Strong"/>
    <w:uiPriority w:val="22"/>
    <w:qFormat/>
    <w:rsid w:val="00BC0C54"/>
    <w:rPr>
      <w:b/>
    </w:rPr>
  </w:style>
  <w:style w:type="paragraph" w:customStyle="1" w:styleId="04Maintext">
    <w:name w:val="04. Main text"/>
    <w:basedOn w:val="Normal"/>
    <w:link w:val="04MaintextChar"/>
    <w:qFormat/>
    <w:rsid w:val="00F15599"/>
    <w:pPr>
      <w:spacing w:line="240" w:lineRule="auto"/>
    </w:pPr>
    <w:rPr>
      <w:rFonts w:eastAsia="Calibri" w:cs="Times New Roman"/>
      <w:lang w:val="en" w:eastAsia="en-GB"/>
    </w:rPr>
  </w:style>
  <w:style w:type="character" w:customStyle="1" w:styleId="04MaintextChar">
    <w:name w:val="04. Main text Char"/>
    <w:basedOn w:val="DefaultParagraphFont"/>
    <w:link w:val="04Maintext"/>
    <w:rsid w:val="00F15599"/>
    <w:rPr>
      <w:rFonts w:ascii="Calibri" w:eastAsia="Calibri" w:hAnsi="Calibri" w:cs="Times New Roman"/>
      <w:color w:val="404040" w:themeColor="text1" w:themeTint="BF"/>
      <w:lang w:val="en" w:eastAsia="en-GB"/>
    </w:rPr>
  </w:style>
  <w:style w:type="paragraph" w:customStyle="1" w:styleId="01FactsheetTitle">
    <w:name w:val="01. Factsheet Title"/>
    <w:next w:val="04Maintext"/>
    <w:link w:val="01FactsheetTitleChar"/>
    <w:rsid w:val="00D65FF6"/>
    <w:pPr>
      <w:spacing w:after="360" w:line="240" w:lineRule="auto"/>
      <w:ind w:right="-125"/>
    </w:pPr>
    <w:rPr>
      <w:rFonts w:eastAsia="Calibri" w:cs="Times New Roman"/>
      <w:b/>
      <w:sz w:val="44"/>
    </w:rPr>
  </w:style>
  <w:style w:type="character" w:customStyle="1" w:styleId="01FactsheetTitleChar">
    <w:name w:val="01. Factsheet Title Char"/>
    <w:basedOn w:val="04MaintextChar"/>
    <w:link w:val="01FactsheetTitle"/>
    <w:rsid w:val="00D65FF6"/>
    <w:rPr>
      <w:rFonts w:ascii="Calibri" w:eastAsia="Calibri" w:hAnsi="Calibri" w:cs="Times New Roman"/>
      <w:b/>
      <w:color w:val="404040" w:themeColor="text1" w:themeTint="BF"/>
      <w:sz w:val="44"/>
      <w:lang w:val="en" w:eastAsia="en-GB"/>
    </w:rPr>
  </w:style>
  <w:style w:type="table" w:styleId="TableGrid">
    <w:name w:val="Table Grid"/>
    <w:aliases w:val="6pt 5"/>
    <w:basedOn w:val="TableNormal"/>
    <w:uiPriority w:val="39"/>
    <w:rsid w:val="005711F3"/>
    <w:pPr>
      <w:spacing w:line="240" w:lineRule="auto"/>
    </w:pPr>
    <w:rPr>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4ABB1" w:themeFill="accent1" w:themeFillTint="99"/>
      </w:tcPr>
    </w:tblStylePr>
  </w:style>
  <w:style w:type="character" w:customStyle="1" w:styleId="Heading1Char">
    <w:name w:val="Heading 1 Char"/>
    <w:basedOn w:val="DefaultParagraphFont"/>
    <w:link w:val="Heading1"/>
    <w:uiPriority w:val="9"/>
    <w:rsid w:val="00E264BD"/>
    <w:rPr>
      <w:rFonts w:asciiTheme="majorHAnsi" w:eastAsia="Times New Roman" w:hAnsiTheme="majorHAnsi" w:cstheme="majorBidi"/>
      <w:color w:val="2E74B5"/>
      <w:sz w:val="32"/>
      <w:szCs w:val="32"/>
      <w:lang w:val="en" w:eastAsia="en-GB"/>
    </w:rPr>
  </w:style>
  <w:style w:type="character" w:styleId="PlaceholderText">
    <w:name w:val="Placeholder Text"/>
    <w:basedOn w:val="DefaultParagraphFont"/>
    <w:uiPriority w:val="99"/>
    <w:semiHidden/>
    <w:rsid w:val="00C50E09"/>
    <w:rPr>
      <w:color w:val="808080"/>
    </w:rPr>
  </w:style>
  <w:style w:type="character" w:customStyle="1" w:styleId="Heading2Char">
    <w:name w:val="Heading 2 Char"/>
    <w:basedOn w:val="DefaultParagraphFont"/>
    <w:link w:val="Heading2"/>
    <w:uiPriority w:val="9"/>
    <w:rsid w:val="004C4674"/>
    <w:rPr>
      <w:rFonts w:asciiTheme="majorHAnsi" w:eastAsiaTheme="majorEastAsia" w:hAnsiTheme="majorHAnsi" w:cstheme="majorBidi"/>
      <w:color w:val="2E74B5"/>
      <w:sz w:val="26"/>
      <w:szCs w:val="26"/>
    </w:rPr>
  </w:style>
  <w:style w:type="paragraph" w:customStyle="1" w:styleId="3Texthighlight">
    <w:name w:val="3.Text (highlight)"/>
    <w:link w:val="3TexthighlightChar"/>
    <w:locked/>
    <w:rsid w:val="0078110C"/>
    <w:pPr>
      <w:shd w:val="clear" w:color="auto" w:fill="FFFF00"/>
      <w:spacing w:after="0" w:line="240" w:lineRule="auto"/>
    </w:pPr>
    <w:rPr>
      <w:rFonts w:eastAsia="Times New Roman" w:cs="Times New Roman"/>
      <w:color w:val="404040"/>
      <w:szCs w:val="24"/>
    </w:rPr>
  </w:style>
  <w:style w:type="character" w:customStyle="1" w:styleId="3TexthighlightChar">
    <w:name w:val="3.Text (highlight) Char"/>
    <w:basedOn w:val="DefaultParagraphFont"/>
    <w:link w:val="3Texthighlight"/>
    <w:rsid w:val="0078110C"/>
    <w:rPr>
      <w:rFonts w:ascii="Calibri" w:eastAsia="Times New Roman" w:hAnsi="Calibri" w:cs="Times New Roman"/>
      <w:color w:val="404040"/>
      <w:szCs w:val="24"/>
      <w:shd w:val="clear" w:color="auto" w:fill="FFFF00"/>
    </w:rPr>
  </w:style>
  <w:style w:type="paragraph" w:styleId="TOCHeading">
    <w:name w:val="TOC Heading"/>
    <w:basedOn w:val="Heading1"/>
    <w:next w:val="Normal"/>
    <w:uiPriority w:val="39"/>
    <w:unhideWhenUsed/>
    <w:rsid w:val="00815C83"/>
    <w:pPr>
      <w:outlineLvl w:val="9"/>
    </w:pPr>
    <w:rPr>
      <w:lang w:val="en-US"/>
    </w:rPr>
  </w:style>
  <w:style w:type="paragraph" w:styleId="TOC2">
    <w:name w:val="toc 2"/>
    <w:basedOn w:val="Normal"/>
    <w:next w:val="Normal"/>
    <w:autoRedefine/>
    <w:uiPriority w:val="39"/>
    <w:unhideWhenUsed/>
    <w:rsid w:val="00645197"/>
    <w:pPr>
      <w:tabs>
        <w:tab w:val="left" w:pos="880"/>
        <w:tab w:val="right" w:leader="dot" w:pos="9016"/>
      </w:tabs>
      <w:spacing w:after="100"/>
      <w:ind w:left="709" w:hanging="489"/>
    </w:pPr>
    <w:rPr>
      <w:color w:val="404040"/>
    </w:rPr>
  </w:style>
  <w:style w:type="paragraph" w:styleId="TOC1">
    <w:name w:val="toc 1"/>
    <w:basedOn w:val="Normal"/>
    <w:next w:val="Normal"/>
    <w:autoRedefine/>
    <w:uiPriority w:val="39"/>
    <w:unhideWhenUsed/>
    <w:rsid w:val="00645197"/>
    <w:pPr>
      <w:tabs>
        <w:tab w:val="right" w:leader="dot" w:pos="9016"/>
      </w:tabs>
      <w:spacing w:before="240"/>
    </w:pPr>
    <w:rPr>
      <w:rFonts w:eastAsia="Times New Roman"/>
      <w:noProof/>
      <w:color w:val="2E74B5"/>
      <w:sz w:val="24"/>
      <w:lang w:val="en" w:eastAsia="en-GB"/>
    </w:rPr>
  </w:style>
  <w:style w:type="character" w:customStyle="1" w:styleId="ListParagraphChar">
    <w:name w:val="List Paragraph Char"/>
    <w:basedOn w:val="DefaultParagraphFont"/>
    <w:link w:val="ListParagraph"/>
    <w:uiPriority w:val="34"/>
    <w:rsid w:val="00B12A88"/>
  </w:style>
  <w:style w:type="character" w:customStyle="1" w:styleId="Heading3Char">
    <w:name w:val="Heading 3 Char"/>
    <w:basedOn w:val="DefaultParagraphFont"/>
    <w:link w:val="Heading3"/>
    <w:uiPriority w:val="9"/>
    <w:rsid w:val="004C4674"/>
    <w:rPr>
      <w:rFonts w:ascii="Calibri" w:eastAsia="Calibri" w:hAnsi="Calibri" w:cs="Times New Roman"/>
      <w:b/>
      <w:color w:val="404040" w:themeColor="text1" w:themeTint="BF"/>
      <w:lang w:val="en" w:eastAsia="en-GB"/>
    </w:rPr>
  </w:style>
  <w:style w:type="paragraph" w:customStyle="1" w:styleId="Bulletlists">
    <w:name w:val="Bullet lists"/>
    <w:basedOn w:val="04Maintext"/>
    <w:qFormat/>
    <w:rsid w:val="00E36B4E"/>
    <w:pPr>
      <w:numPr>
        <w:numId w:val="10"/>
      </w:numPr>
    </w:pPr>
  </w:style>
  <w:style w:type="paragraph" w:customStyle="1" w:styleId="Default">
    <w:name w:val="Default"/>
    <w:locked/>
    <w:rsid w:val="0097162B"/>
    <w:pPr>
      <w:autoSpaceDE w:val="0"/>
      <w:autoSpaceDN w:val="0"/>
      <w:adjustRightInd w:val="0"/>
      <w:spacing w:after="0" w:line="240" w:lineRule="auto"/>
    </w:pPr>
    <w:rPr>
      <w:rFonts w:cs="Calibri"/>
      <w:color w:val="000000"/>
      <w:sz w:val="24"/>
      <w:szCs w:val="24"/>
    </w:rPr>
  </w:style>
  <w:style w:type="character" w:styleId="IntenseEmphasis">
    <w:name w:val="Intense Emphasis"/>
    <w:basedOn w:val="DefaultParagraphFont"/>
    <w:uiPriority w:val="21"/>
    <w:locked/>
    <w:rsid w:val="0069694C"/>
    <w:rPr>
      <w:i/>
      <w:iCs/>
      <w:color w:val="6A737B" w:themeColor="accent1"/>
    </w:rPr>
  </w:style>
  <w:style w:type="paragraph" w:customStyle="1" w:styleId="Letteredlists">
    <w:name w:val="Lettered lists"/>
    <w:basedOn w:val="04Maintext"/>
    <w:link w:val="LetteredlistsChar"/>
    <w:qFormat/>
    <w:rsid w:val="000C14E4"/>
    <w:pPr>
      <w:numPr>
        <w:numId w:val="2"/>
      </w:numPr>
      <w:ind w:left="840" w:hanging="392"/>
    </w:pPr>
  </w:style>
  <w:style w:type="paragraph" w:customStyle="1" w:styleId="Letteredlists2">
    <w:name w:val="Lettered lists 2"/>
    <w:basedOn w:val="04Maintext"/>
    <w:link w:val="Letteredlists2Char"/>
    <w:qFormat/>
    <w:rsid w:val="000C14E4"/>
    <w:pPr>
      <w:numPr>
        <w:numId w:val="3"/>
      </w:numPr>
      <w:ind w:left="1276" w:hanging="425"/>
    </w:pPr>
  </w:style>
  <w:style w:type="character" w:customStyle="1" w:styleId="LetteredlistsChar">
    <w:name w:val="Lettered lists Char"/>
    <w:basedOn w:val="04MaintextChar"/>
    <w:link w:val="Letteredlists"/>
    <w:rsid w:val="000C14E4"/>
    <w:rPr>
      <w:rFonts w:ascii="Calibri" w:eastAsia="Calibri" w:hAnsi="Calibri" w:cs="Times New Roman"/>
      <w:color w:val="404040" w:themeColor="text1" w:themeTint="BF"/>
      <w:lang w:val="en" w:eastAsia="en-GB"/>
    </w:rPr>
  </w:style>
  <w:style w:type="paragraph" w:customStyle="1" w:styleId="Bulletlists2">
    <w:name w:val="Bullet lists 2"/>
    <w:basedOn w:val="ListParagraph"/>
    <w:link w:val="Bulletlists2Char"/>
    <w:qFormat/>
    <w:rsid w:val="00BC0C54"/>
    <w:pPr>
      <w:numPr>
        <w:numId w:val="4"/>
      </w:numPr>
      <w:ind w:left="1276" w:hanging="366"/>
      <w:contextualSpacing w:val="0"/>
    </w:pPr>
  </w:style>
  <w:style w:type="character" w:customStyle="1" w:styleId="Letteredlists2Char">
    <w:name w:val="Lettered lists 2 Char"/>
    <w:basedOn w:val="04MaintextChar"/>
    <w:link w:val="Letteredlists2"/>
    <w:rsid w:val="000C14E4"/>
    <w:rPr>
      <w:rFonts w:ascii="Calibri" w:eastAsia="Calibri" w:hAnsi="Calibri" w:cs="Times New Roman"/>
      <w:color w:val="404040" w:themeColor="text1" w:themeTint="BF"/>
      <w:lang w:val="en" w:eastAsia="en-GB"/>
    </w:rPr>
  </w:style>
  <w:style w:type="paragraph" w:customStyle="1" w:styleId="NumberedHeading1">
    <w:name w:val="Numbered Heading 1"/>
    <w:basedOn w:val="Heading1"/>
    <w:link w:val="NumberedHeading1Char"/>
    <w:qFormat/>
    <w:rsid w:val="009F7C5A"/>
    <w:pPr>
      <w:numPr>
        <w:numId w:val="6"/>
      </w:numPr>
      <w:ind w:left="720"/>
    </w:pPr>
  </w:style>
  <w:style w:type="character" w:customStyle="1" w:styleId="Bulletlists2Char">
    <w:name w:val="Bullet lists 2 Char"/>
    <w:basedOn w:val="ListParagraphChar"/>
    <w:link w:val="Bulletlists2"/>
    <w:rsid w:val="00BC0C54"/>
  </w:style>
  <w:style w:type="paragraph" w:customStyle="1" w:styleId="NumberedHeading2">
    <w:name w:val="Numbered Heading 2"/>
    <w:basedOn w:val="Heading2"/>
    <w:link w:val="NumberedHeading2Char"/>
    <w:qFormat/>
    <w:rsid w:val="00B119A0"/>
    <w:pPr>
      <w:numPr>
        <w:numId w:val="1"/>
      </w:numPr>
      <w:ind w:left="426" w:hanging="426"/>
    </w:pPr>
  </w:style>
  <w:style w:type="character" w:customStyle="1" w:styleId="NumberedHeading1Char">
    <w:name w:val="Numbered Heading 1 Char"/>
    <w:basedOn w:val="04MaintextChar"/>
    <w:link w:val="NumberedHeading1"/>
    <w:rsid w:val="009F7C5A"/>
    <w:rPr>
      <w:rFonts w:asciiTheme="majorHAnsi" w:eastAsia="Times New Roman" w:hAnsiTheme="majorHAnsi" w:cstheme="majorBidi"/>
      <w:color w:val="2E74B5"/>
      <w:sz w:val="32"/>
      <w:szCs w:val="32"/>
      <w:lang w:val="en" w:eastAsia="en-GB"/>
    </w:rPr>
  </w:style>
  <w:style w:type="paragraph" w:customStyle="1" w:styleId="Numberedheading3">
    <w:name w:val="Numbered heading 3"/>
    <w:basedOn w:val="Heading3"/>
    <w:link w:val="Numberedheading3Char"/>
    <w:qFormat/>
    <w:rsid w:val="00B119A0"/>
    <w:pPr>
      <w:numPr>
        <w:numId w:val="5"/>
      </w:numPr>
      <w:ind w:left="357" w:hanging="357"/>
    </w:pPr>
  </w:style>
  <w:style w:type="character" w:customStyle="1" w:styleId="NumberedHeading2Char">
    <w:name w:val="Numbered Heading 2 Char"/>
    <w:basedOn w:val="Heading2Char"/>
    <w:link w:val="NumberedHeading2"/>
    <w:rsid w:val="00B119A0"/>
    <w:rPr>
      <w:rFonts w:asciiTheme="majorHAnsi" w:eastAsiaTheme="majorEastAsia" w:hAnsiTheme="majorHAnsi" w:cstheme="majorBidi"/>
      <w:color w:val="2E74B5"/>
      <w:sz w:val="26"/>
      <w:szCs w:val="26"/>
    </w:rPr>
  </w:style>
  <w:style w:type="paragraph" w:styleId="TOC3">
    <w:name w:val="toc 3"/>
    <w:basedOn w:val="Normal"/>
    <w:next w:val="Normal"/>
    <w:autoRedefine/>
    <w:uiPriority w:val="39"/>
    <w:unhideWhenUsed/>
    <w:rsid w:val="00645197"/>
    <w:pPr>
      <w:spacing w:after="100"/>
      <w:ind w:left="440"/>
    </w:pPr>
    <w:rPr>
      <w:color w:val="404040"/>
    </w:rPr>
  </w:style>
  <w:style w:type="character" w:customStyle="1" w:styleId="Numberedheading3Char">
    <w:name w:val="Numbered heading 3 Char"/>
    <w:basedOn w:val="NumberedHeading2Char"/>
    <w:link w:val="Numberedheading3"/>
    <w:rsid w:val="00B119A0"/>
    <w:rPr>
      <w:rFonts w:asciiTheme="majorHAnsi" w:eastAsia="Calibri" w:hAnsiTheme="majorHAnsi" w:cs="Times New Roman"/>
      <w:b/>
      <w:color w:val="2E74B5"/>
      <w:sz w:val="26"/>
      <w:szCs w:val="26"/>
      <w:lang w:val="en" w:eastAsia="en-GB"/>
    </w:rPr>
  </w:style>
  <w:style w:type="table" w:styleId="GridTable1Light">
    <w:name w:val="Grid Table 1 Light"/>
    <w:basedOn w:val="TableNormal"/>
    <w:uiPriority w:val="46"/>
    <w:locked/>
    <w:rsid w:val="009F7C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9F7C5A"/>
    <w:pPr>
      <w:spacing w:after="0" w:line="240" w:lineRule="auto"/>
    </w:pPr>
    <w:tblPr>
      <w:tblStyleRowBandSize w:val="1"/>
      <w:tblStyleColBandSize w:val="1"/>
      <w:tblBorders>
        <w:top w:val="single" w:sz="4" w:space="0" w:color="C2C6CA" w:themeColor="accent1" w:themeTint="66"/>
        <w:left w:val="single" w:sz="4" w:space="0" w:color="C2C6CA" w:themeColor="accent1" w:themeTint="66"/>
        <w:bottom w:val="single" w:sz="4" w:space="0" w:color="C2C6CA" w:themeColor="accent1" w:themeTint="66"/>
        <w:right w:val="single" w:sz="4" w:space="0" w:color="C2C6CA" w:themeColor="accent1" w:themeTint="66"/>
        <w:insideH w:val="single" w:sz="4" w:space="0" w:color="C2C6CA" w:themeColor="accent1" w:themeTint="66"/>
        <w:insideV w:val="single" w:sz="4" w:space="0" w:color="C2C6CA" w:themeColor="accent1" w:themeTint="66"/>
      </w:tblBorders>
    </w:tblPr>
    <w:tblStylePr w:type="firstRow">
      <w:rPr>
        <w:b/>
        <w:bCs/>
      </w:rPr>
      <w:tblPr/>
      <w:tcPr>
        <w:tcBorders>
          <w:bottom w:val="single" w:sz="12" w:space="0" w:color="A4ABB1" w:themeColor="accent1" w:themeTint="99"/>
        </w:tcBorders>
      </w:tcPr>
    </w:tblStylePr>
    <w:tblStylePr w:type="lastRow">
      <w:rPr>
        <w:b/>
        <w:bCs/>
      </w:rPr>
      <w:tblPr/>
      <w:tcPr>
        <w:tcBorders>
          <w:top w:val="double" w:sz="2" w:space="0" w:color="A4ABB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9F7C5A"/>
    <w:pPr>
      <w:spacing w:after="0" w:line="240" w:lineRule="auto"/>
    </w:pPr>
    <w:tblPr>
      <w:tblStyleRowBandSize w:val="1"/>
      <w:tblStyleColBandSize w:val="1"/>
      <w:tblBorders>
        <w:top w:val="single" w:sz="4" w:space="0" w:color="D397E2" w:themeColor="accent2" w:themeTint="66"/>
        <w:left w:val="single" w:sz="4" w:space="0" w:color="D397E2" w:themeColor="accent2" w:themeTint="66"/>
        <w:bottom w:val="single" w:sz="4" w:space="0" w:color="D397E2" w:themeColor="accent2" w:themeTint="66"/>
        <w:right w:val="single" w:sz="4" w:space="0" w:color="D397E2" w:themeColor="accent2" w:themeTint="66"/>
        <w:insideH w:val="single" w:sz="4" w:space="0" w:color="D397E2" w:themeColor="accent2" w:themeTint="66"/>
        <w:insideV w:val="single" w:sz="4" w:space="0" w:color="D397E2" w:themeColor="accent2" w:themeTint="66"/>
      </w:tblBorders>
    </w:tblPr>
    <w:tblStylePr w:type="firstRow">
      <w:rPr>
        <w:b/>
        <w:bCs/>
      </w:rPr>
      <w:tblPr/>
      <w:tcPr>
        <w:tcBorders>
          <w:bottom w:val="single" w:sz="12" w:space="0" w:color="BD63D3" w:themeColor="accent2" w:themeTint="99"/>
        </w:tcBorders>
      </w:tcPr>
    </w:tblStylePr>
    <w:tblStylePr w:type="lastRow">
      <w:rPr>
        <w:b/>
        <w:bCs/>
      </w:rPr>
      <w:tblPr/>
      <w:tcPr>
        <w:tcBorders>
          <w:top w:val="double" w:sz="2" w:space="0" w:color="BD63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9F7C5A"/>
    <w:pPr>
      <w:spacing w:after="0" w:line="240" w:lineRule="auto"/>
    </w:pPr>
    <w:tblPr>
      <w:tblStyleRowBandSize w:val="1"/>
      <w:tblStyleColBandSize w:val="1"/>
      <w:tblBorders>
        <w:top w:val="single" w:sz="4" w:space="0" w:color="F9D4E5" w:themeColor="accent3" w:themeTint="66"/>
        <w:left w:val="single" w:sz="4" w:space="0" w:color="F9D4E5" w:themeColor="accent3" w:themeTint="66"/>
        <w:bottom w:val="single" w:sz="4" w:space="0" w:color="F9D4E5" w:themeColor="accent3" w:themeTint="66"/>
        <w:right w:val="single" w:sz="4" w:space="0" w:color="F9D4E5" w:themeColor="accent3" w:themeTint="66"/>
        <w:insideH w:val="single" w:sz="4" w:space="0" w:color="F9D4E5" w:themeColor="accent3" w:themeTint="66"/>
        <w:insideV w:val="single" w:sz="4" w:space="0" w:color="F9D4E5" w:themeColor="accent3" w:themeTint="66"/>
      </w:tblBorders>
    </w:tblPr>
    <w:tblStylePr w:type="firstRow">
      <w:rPr>
        <w:b/>
        <w:bCs/>
      </w:rPr>
      <w:tblPr/>
      <w:tcPr>
        <w:tcBorders>
          <w:bottom w:val="single" w:sz="12" w:space="0" w:color="F6BFD8" w:themeColor="accent3" w:themeTint="99"/>
        </w:tcBorders>
      </w:tcPr>
    </w:tblStylePr>
    <w:tblStylePr w:type="lastRow">
      <w:rPr>
        <w:b/>
        <w:bCs/>
      </w:rPr>
      <w:tblPr/>
      <w:tcPr>
        <w:tcBorders>
          <w:top w:val="double" w:sz="2" w:space="0" w:color="F6BFD8"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9F7C5A"/>
    <w:pPr>
      <w:spacing w:after="0" w:line="240" w:lineRule="auto"/>
    </w:pPr>
    <w:tblPr>
      <w:tblStyleRowBandSize w:val="1"/>
      <w:tblStyleColBandSize w:val="1"/>
      <w:tblBorders>
        <w:top w:val="single" w:sz="4" w:space="0" w:color="C3E3AF" w:themeColor="accent5" w:themeTint="66"/>
        <w:left w:val="single" w:sz="4" w:space="0" w:color="C3E3AF" w:themeColor="accent5" w:themeTint="66"/>
        <w:bottom w:val="single" w:sz="4" w:space="0" w:color="C3E3AF" w:themeColor="accent5" w:themeTint="66"/>
        <w:right w:val="single" w:sz="4" w:space="0" w:color="C3E3AF" w:themeColor="accent5" w:themeTint="66"/>
        <w:insideH w:val="single" w:sz="4" w:space="0" w:color="C3E3AF" w:themeColor="accent5" w:themeTint="66"/>
        <w:insideV w:val="single" w:sz="4" w:space="0" w:color="C3E3AF" w:themeColor="accent5" w:themeTint="66"/>
      </w:tblBorders>
    </w:tblPr>
    <w:tblStylePr w:type="firstRow">
      <w:rPr>
        <w:b/>
        <w:bCs/>
      </w:rPr>
      <w:tblPr/>
      <w:tcPr>
        <w:tcBorders>
          <w:bottom w:val="single" w:sz="12" w:space="0" w:color="A5D587" w:themeColor="accent5" w:themeTint="99"/>
        </w:tcBorders>
      </w:tcPr>
    </w:tblStylePr>
    <w:tblStylePr w:type="lastRow">
      <w:rPr>
        <w:b/>
        <w:bCs/>
      </w:rPr>
      <w:tblPr/>
      <w:tcPr>
        <w:tcBorders>
          <w:top w:val="double" w:sz="2" w:space="0" w:color="A5D587"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9F7C5A"/>
    <w:pPr>
      <w:spacing w:after="0" w:line="240" w:lineRule="auto"/>
    </w:pPr>
    <w:tblPr>
      <w:tblStyleRowBandSize w:val="1"/>
      <w:tblStyleColBandSize w:val="1"/>
      <w:tblBorders>
        <w:top w:val="single" w:sz="4" w:space="0" w:color="F5A1AD" w:themeColor="accent4" w:themeTint="66"/>
        <w:left w:val="single" w:sz="4" w:space="0" w:color="F5A1AD" w:themeColor="accent4" w:themeTint="66"/>
        <w:bottom w:val="single" w:sz="4" w:space="0" w:color="F5A1AD" w:themeColor="accent4" w:themeTint="66"/>
        <w:right w:val="single" w:sz="4" w:space="0" w:color="F5A1AD" w:themeColor="accent4" w:themeTint="66"/>
        <w:insideH w:val="single" w:sz="4" w:space="0" w:color="F5A1AD" w:themeColor="accent4" w:themeTint="66"/>
        <w:insideV w:val="single" w:sz="4" w:space="0" w:color="F5A1AD" w:themeColor="accent4" w:themeTint="66"/>
      </w:tblBorders>
    </w:tblPr>
    <w:tblStylePr w:type="firstRow">
      <w:rPr>
        <w:b/>
        <w:bCs/>
      </w:rPr>
      <w:tblPr/>
      <w:tcPr>
        <w:tcBorders>
          <w:bottom w:val="single" w:sz="12" w:space="0" w:color="F07284" w:themeColor="accent4" w:themeTint="99"/>
        </w:tcBorders>
      </w:tcPr>
    </w:tblStylePr>
    <w:tblStylePr w:type="lastRow">
      <w:rPr>
        <w:b/>
        <w:bCs/>
      </w:rPr>
      <w:tblPr/>
      <w:tcPr>
        <w:tcBorders>
          <w:top w:val="double" w:sz="2" w:space="0" w:color="F07284"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9F7C5A"/>
    <w:pPr>
      <w:spacing w:after="0" w:line="240" w:lineRule="auto"/>
    </w:pPr>
    <w:tblPr>
      <w:tblStyleRowBandSize w:val="1"/>
      <w:tblStyleColBandSize w:val="1"/>
      <w:tblBorders>
        <w:top w:val="single" w:sz="4" w:space="0" w:color="EEF2B7" w:themeColor="accent6" w:themeTint="66"/>
        <w:left w:val="single" w:sz="4" w:space="0" w:color="EEF2B7" w:themeColor="accent6" w:themeTint="66"/>
        <w:bottom w:val="single" w:sz="4" w:space="0" w:color="EEF2B7" w:themeColor="accent6" w:themeTint="66"/>
        <w:right w:val="single" w:sz="4" w:space="0" w:color="EEF2B7" w:themeColor="accent6" w:themeTint="66"/>
        <w:insideH w:val="single" w:sz="4" w:space="0" w:color="EEF2B7" w:themeColor="accent6" w:themeTint="66"/>
        <w:insideV w:val="single" w:sz="4" w:space="0" w:color="EEF2B7" w:themeColor="accent6" w:themeTint="66"/>
      </w:tblBorders>
    </w:tblPr>
    <w:tblStylePr w:type="firstRow">
      <w:rPr>
        <w:b/>
        <w:bCs/>
      </w:rPr>
      <w:tblPr/>
      <w:tcPr>
        <w:tcBorders>
          <w:bottom w:val="single" w:sz="12" w:space="0" w:color="E5EC93" w:themeColor="accent6" w:themeTint="99"/>
        </w:tcBorders>
      </w:tcPr>
    </w:tblStylePr>
    <w:tblStylePr w:type="lastRow">
      <w:rPr>
        <w:b/>
        <w:bCs/>
      </w:rPr>
      <w:tblPr/>
      <w:tcPr>
        <w:tcBorders>
          <w:top w:val="double" w:sz="2" w:space="0" w:color="E5EC93" w:themeColor="accent6" w:themeTint="99"/>
        </w:tcBorders>
      </w:tcPr>
    </w:tblStylePr>
    <w:tblStylePr w:type="firstCol">
      <w:rPr>
        <w:b/>
        <w:bCs/>
      </w:rPr>
    </w:tblStylePr>
    <w:tblStylePr w:type="lastCol">
      <w:rPr>
        <w:b/>
        <w:bCs/>
      </w:rPr>
    </w:tblStylePr>
  </w:style>
  <w:style w:type="table" w:customStyle="1" w:styleId="6pt">
    <w:name w:val="6pt"/>
    <w:basedOn w:val="TableNormal"/>
    <w:uiPriority w:val="99"/>
    <w:rsid w:val="006E2688"/>
    <w:pPr>
      <w:spacing w:line="240" w:lineRule="auto"/>
    </w:pPr>
    <w:rPr>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0EDFA" w:themeFill="background2" w:themeFillTint="66"/>
      </w:tcPr>
    </w:tblStylePr>
  </w:style>
  <w:style w:type="table" w:styleId="LightList-Accent3">
    <w:name w:val="Light List Accent 3"/>
    <w:basedOn w:val="TableNormal"/>
    <w:uiPriority w:val="61"/>
    <w:locked/>
    <w:rsid w:val="00984EAE"/>
    <w:pPr>
      <w:spacing w:after="0" w:line="240" w:lineRule="auto"/>
    </w:pPr>
    <w:rPr>
      <w:rFonts w:eastAsiaTheme="minorEastAsia"/>
      <w:lang w:val="en-US"/>
    </w:rPr>
    <w:tblPr>
      <w:tblStyleRowBandSize w:val="1"/>
      <w:tblStyleColBandSize w:val="1"/>
      <w:tblBorders>
        <w:top w:val="single" w:sz="8" w:space="0" w:color="F095BF" w:themeColor="accent3"/>
        <w:left w:val="single" w:sz="8" w:space="0" w:color="F095BF" w:themeColor="accent3"/>
        <w:bottom w:val="single" w:sz="8" w:space="0" w:color="F095BF" w:themeColor="accent3"/>
        <w:right w:val="single" w:sz="8" w:space="0" w:color="F095BF" w:themeColor="accent3"/>
      </w:tblBorders>
    </w:tblPr>
    <w:tblStylePr w:type="firstRow">
      <w:pPr>
        <w:spacing w:before="0" w:after="0" w:line="240" w:lineRule="auto"/>
      </w:pPr>
      <w:rPr>
        <w:b/>
        <w:bCs/>
        <w:color w:val="004990" w:themeColor="background1"/>
      </w:rPr>
      <w:tblPr/>
      <w:tcPr>
        <w:shd w:val="clear" w:color="auto" w:fill="F095BF" w:themeFill="accent3"/>
      </w:tcPr>
    </w:tblStylePr>
    <w:tblStylePr w:type="lastRow">
      <w:pPr>
        <w:spacing w:before="0" w:after="0" w:line="240" w:lineRule="auto"/>
      </w:pPr>
      <w:rPr>
        <w:b/>
        <w:bCs/>
      </w:rPr>
      <w:tblPr/>
      <w:tcPr>
        <w:tcBorders>
          <w:top w:val="double" w:sz="6" w:space="0" w:color="F095BF" w:themeColor="accent3"/>
          <w:left w:val="single" w:sz="8" w:space="0" w:color="F095BF" w:themeColor="accent3"/>
          <w:bottom w:val="single" w:sz="8" w:space="0" w:color="F095BF" w:themeColor="accent3"/>
          <w:right w:val="single" w:sz="8" w:space="0" w:color="F095BF" w:themeColor="accent3"/>
        </w:tcBorders>
      </w:tcPr>
    </w:tblStylePr>
    <w:tblStylePr w:type="firstCol">
      <w:rPr>
        <w:b/>
        <w:bCs/>
      </w:rPr>
    </w:tblStylePr>
    <w:tblStylePr w:type="lastCol">
      <w:rPr>
        <w:b/>
        <w:bCs/>
      </w:rPr>
    </w:tblStylePr>
    <w:tblStylePr w:type="band1Vert">
      <w:tblPr/>
      <w:tcPr>
        <w:tcBorders>
          <w:top w:val="single" w:sz="8" w:space="0" w:color="F095BF" w:themeColor="accent3"/>
          <w:left w:val="single" w:sz="8" w:space="0" w:color="F095BF" w:themeColor="accent3"/>
          <w:bottom w:val="single" w:sz="8" w:space="0" w:color="F095BF" w:themeColor="accent3"/>
          <w:right w:val="single" w:sz="8" w:space="0" w:color="F095BF" w:themeColor="accent3"/>
        </w:tcBorders>
      </w:tcPr>
    </w:tblStylePr>
    <w:tblStylePr w:type="band1Horz">
      <w:tblPr/>
      <w:tcPr>
        <w:tcBorders>
          <w:top w:val="single" w:sz="8" w:space="0" w:color="F095BF" w:themeColor="accent3"/>
          <w:left w:val="single" w:sz="8" w:space="0" w:color="F095BF" w:themeColor="accent3"/>
          <w:bottom w:val="single" w:sz="8" w:space="0" w:color="F095BF" w:themeColor="accent3"/>
          <w:right w:val="single" w:sz="8" w:space="0" w:color="F095BF" w:themeColor="accent3"/>
        </w:tcBorders>
      </w:tcPr>
    </w:tblStylePr>
  </w:style>
  <w:style w:type="character" w:customStyle="1" w:styleId="Heading4Char">
    <w:name w:val="Heading 4 Char"/>
    <w:basedOn w:val="DefaultParagraphFont"/>
    <w:link w:val="Heading4"/>
    <w:uiPriority w:val="9"/>
    <w:rsid w:val="001D4DAE"/>
    <w:rPr>
      <w:rFonts w:ascii="Calibri" w:eastAsia="Calibri" w:hAnsi="Calibri" w:cs="Times New Roman"/>
      <w:color w:val="404040" w:themeColor="text1" w:themeTint="BF"/>
      <w:u w:val="single"/>
      <w:lang w:val="en" w:eastAsia="en-GB"/>
    </w:rPr>
  </w:style>
  <w:style w:type="paragraph" w:styleId="Quote">
    <w:name w:val="Quote"/>
    <w:basedOn w:val="Normal"/>
    <w:next w:val="Normal"/>
    <w:link w:val="QuoteChar"/>
    <w:uiPriority w:val="29"/>
    <w:locked/>
    <w:rsid w:val="0005437F"/>
    <w:pPr>
      <w:spacing w:before="200"/>
      <w:ind w:left="864" w:right="864"/>
      <w:jc w:val="center"/>
    </w:pPr>
    <w:rPr>
      <w:i/>
      <w:iCs/>
    </w:rPr>
  </w:style>
  <w:style w:type="character" w:customStyle="1" w:styleId="QuoteChar">
    <w:name w:val="Quote Char"/>
    <w:basedOn w:val="DefaultParagraphFont"/>
    <w:link w:val="Quote"/>
    <w:uiPriority w:val="29"/>
    <w:rsid w:val="0005437F"/>
    <w:rPr>
      <w:i/>
      <w:iCs/>
      <w:color w:val="404040" w:themeColor="text1" w:themeTint="BF"/>
    </w:rPr>
  </w:style>
  <w:style w:type="paragraph" w:customStyle="1" w:styleId="Numberedlist">
    <w:name w:val="Numbered list"/>
    <w:basedOn w:val="04Maintext"/>
    <w:link w:val="NumberedlistChar"/>
    <w:qFormat/>
    <w:rsid w:val="00645197"/>
    <w:pPr>
      <w:numPr>
        <w:numId w:val="7"/>
      </w:numPr>
    </w:pPr>
  </w:style>
  <w:style w:type="character" w:customStyle="1" w:styleId="NumberedlistChar">
    <w:name w:val="Numbered list Char"/>
    <w:basedOn w:val="04MaintextChar"/>
    <w:link w:val="Numberedlist"/>
    <w:rsid w:val="00645197"/>
    <w:rPr>
      <w:rFonts w:ascii="Calibri" w:eastAsia="Calibri" w:hAnsi="Calibri" w:cs="Times New Roman"/>
      <w:color w:val="404040" w:themeColor="text1" w:themeTint="BF"/>
      <w:lang w:val="en" w:eastAsia="en-GB"/>
    </w:rPr>
  </w:style>
  <w:style w:type="character" w:customStyle="1" w:styleId="RedText">
    <w:name w:val="Red Text"/>
    <w:basedOn w:val="Hyperlink"/>
    <w:uiPriority w:val="1"/>
    <w:qFormat/>
    <w:rsid w:val="0005437F"/>
    <w:rPr>
      <w:rFonts w:ascii="Calibri" w:hAnsi="Calibri"/>
      <w:color w:val="FF0000"/>
      <w:sz w:val="22"/>
    </w:rPr>
  </w:style>
  <w:style w:type="character" w:customStyle="1" w:styleId="Subscript">
    <w:name w:val="Subscript"/>
    <w:basedOn w:val="RedText"/>
    <w:uiPriority w:val="1"/>
    <w:qFormat/>
    <w:rsid w:val="0005437F"/>
    <w:rPr>
      <w:rFonts w:ascii="Calibri" w:hAnsi="Calibri"/>
      <w:color w:val="404040" w:themeColor="text1" w:themeTint="BF"/>
      <w:sz w:val="18"/>
      <w:u w:val="none"/>
    </w:rPr>
  </w:style>
  <w:style w:type="character" w:customStyle="1" w:styleId="Highlight">
    <w:name w:val="Highlight"/>
    <w:basedOn w:val="DefaultParagraphFont"/>
    <w:uiPriority w:val="1"/>
    <w:qFormat/>
    <w:rsid w:val="0078110C"/>
    <w:rPr>
      <w:rFonts w:ascii="Calibri" w:eastAsia="Calibri" w:hAnsi="Calibri" w:cs="Times New Roman"/>
      <w:color w:val="404040" w:themeColor="text1" w:themeTint="BF"/>
      <w:bdr w:val="none" w:sz="0" w:space="0" w:color="auto"/>
      <w:shd w:val="clear" w:color="auto" w:fill="FFFF00"/>
      <w:lang w:val="en" w:eastAsia="en-GB"/>
    </w:rPr>
  </w:style>
  <w:style w:type="paragraph" w:customStyle="1" w:styleId="HeaderandFooterText">
    <w:name w:val="Header and Footer Text"/>
    <w:basedOn w:val="04Maintext"/>
    <w:link w:val="HeaderandFooterTextChar"/>
    <w:qFormat/>
    <w:rsid w:val="00D71CC6"/>
    <w:pPr>
      <w:spacing w:before="0" w:after="0"/>
    </w:pPr>
    <w:rPr>
      <w:sz w:val="18"/>
    </w:rPr>
  </w:style>
  <w:style w:type="character" w:customStyle="1" w:styleId="HeaderandFooterTextChar">
    <w:name w:val="Header and Footer Text Char"/>
    <w:basedOn w:val="04MaintextChar"/>
    <w:link w:val="HeaderandFooterText"/>
    <w:rsid w:val="00D71CC6"/>
    <w:rPr>
      <w:rFonts w:ascii="Calibri" w:eastAsia="Calibri" w:hAnsi="Calibri" w:cs="Times New Roman"/>
      <w:color w:val="404040" w:themeColor="text1" w:themeTint="BF"/>
      <w:sz w:val="18"/>
      <w:lang w:val="en" w:eastAsia="en-GB"/>
    </w:rPr>
  </w:style>
  <w:style w:type="paragraph" w:customStyle="1" w:styleId="NumberedList2">
    <w:name w:val="Numbered List 2"/>
    <w:basedOn w:val="04Maintext"/>
    <w:link w:val="NumberedList2Char"/>
    <w:qFormat/>
    <w:rsid w:val="005075EC"/>
    <w:pPr>
      <w:numPr>
        <w:numId w:val="8"/>
      </w:numPr>
    </w:pPr>
  </w:style>
  <w:style w:type="table" w:styleId="PlainTable1">
    <w:name w:val="Plain Table 1"/>
    <w:basedOn w:val="TableNormal"/>
    <w:uiPriority w:val="41"/>
    <w:locked/>
    <w:rsid w:val="005075EC"/>
    <w:pPr>
      <w:spacing w:after="0" w:line="240" w:lineRule="auto"/>
    </w:pPr>
    <w:tblPr>
      <w:tblStyleRowBandSize w:val="1"/>
      <w:tblStyleColBandSize w:val="1"/>
      <w:tblBorders>
        <w:top w:val="single" w:sz="4" w:space="0" w:color="00366B" w:themeColor="background1" w:themeShade="BF"/>
        <w:left w:val="single" w:sz="4" w:space="0" w:color="00366B" w:themeColor="background1" w:themeShade="BF"/>
        <w:bottom w:val="single" w:sz="4" w:space="0" w:color="00366B" w:themeColor="background1" w:themeShade="BF"/>
        <w:right w:val="single" w:sz="4" w:space="0" w:color="00366B" w:themeColor="background1" w:themeShade="BF"/>
        <w:insideH w:val="single" w:sz="4" w:space="0" w:color="00366B" w:themeColor="background1" w:themeShade="BF"/>
        <w:insideV w:val="single" w:sz="4" w:space="0" w:color="00366B" w:themeColor="background1" w:themeShade="BF"/>
      </w:tblBorders>
    </w:tblPr>
    <w:tblStylePr w:type="firstRow">
      <w:rPr>
        <w:b/>
        <w:bCs/>
      </w:rPr>
    </w:tblStylePr>
    <w:tblStylePr w:type="lastRow">
      <w:rPr>
        <w:b/>
        <w:bCs/>
      </w:rPr>
      <w:tblPr/>
      <w:tcPr>
        <w:tcBorders>
          <w:top w:val="double" w:sz="4" w:space="0" w:color="00366B" w:themeColor="background1" w:themeShade="BF"/>
        </w:tcBorders>
      </w:tcPr>
    </w:tblStylePr>
    <w:tblStylePr w:type="firstCol">
      <w:rPr>
        <w:b/>
        <w:bCs/>
      </w:rPr>
    </w:tblStylePr>
    <w:tblStylePr w:type="lastCol">
      <w:rPr>
        <w:b/>
        <w:bCs/>
      </w:rPr>
    </w:tblStylePr>
    <w:tblStylePr w:type="band1Vert">
      <w:tblPr/>
      <w:tcPr>
        <w:shd w:val="clear" w:color="auto" w:fill="004488" w:themeFill="background1" w:themeFillShade="F2"/>
      </w:tcPr>
    </w:tblStylePr>
    <w:tblStylePr w:type="band1Horz">
      <w:tblPr/>
      <w:tcPr>
        <w:shd w:val="clear" w:color="auto" w:fill="004488" w:themeFill="background1" w:themeFillShade="F2"/>
      </w:tcPr>
    </w:tblStylePr>
  </w:style>
  <w:style w:type="character" w:customStyle="1" w:styleId="NumberedList2Char">
    <w:name w:val="Numbered List 2 Char"/>
    <w:basedOn w:val="04MaintextChar"/>
    <w:link w:val="NumberedList2"/>
    <w:rsid w:val="005075EC"/>
    <w:rPr>
      <w:rFonts w:ascii="Calibri" w:eastAsia="Calibri" w:hAnsi="Calibri" w:cs="Times New Roman"/>
      <w:color w:val="404040" w:themeColor="text1" w:themeTint="BF"/>
      <w:lang w:val="en" w:eastAsia="en-GB"/>
    </w:rPr>
  </w:style>
  <w:style w:type="table" w:customStyle="1" w:styleId="6pt2">
    <w:name w:val="6pt 2"/>
    <w:basedOn w:val="6pt"/>
    <w:uiPriority w:val="99"/>
    <w:rsid w:val="005075EC"/>
    <w:tblPr/>
    <w:tblStylePr w:type="firstRow">
      <w:tblPr/>
      <w:tcPr>
        <w:shd w:val="clear" w:color="auto" w:fill="D0EDFA" w:themeFill="background2" w:themeFillTint="66"/>
      </w:tcPr>
    </w:tblStylePr>
    <w:tblStylePr w:type="firstCol">
      <w:tblPr/>
      <w:tcPr>
        <w:shd w:val="clear" w:color="auto" w:fill="D0EDFA" w:themeFill="background2" w:themeFillTint="66"/>
      </w:tcPr>
    </w:tblStylePr>
  </w:style>
  <w:style w:type="table" w:styleId="PlainTable2">
    <w:name w:val="Plain Table 2"/>
    <w:basedOn w:val="TableNormal"/>
    <w:uiPriority w:val="42"/>
    <w:locked/>
    <w:rsid w:val="005075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6pt3">
    <w:name w:val="6pt 3"/>
    <w:basedOn w:val="TableNormal"/>
    <w:uiPriority w:val="99"/>
    <w:rsid w:val="006E2688"/>
    <w:tblPr/>
    <w:tcPr>
      <w:shd w:val="clear" w:color="auto" w:fill="FFFFFF"/>
    </w:tcPr>
    <w:tblStylePr w:type="firstRow">
      <w:rPr>
        <w:color w:val="404040" w:themeColor="text1" w:themeTint="BF"/>
      </w:rPr>
    </w:tblStylePr>
    <w:tblStylePr w:type="firstCol">
      <w:tblPr/>
      <w:tcPr>
        <w:shd w:val="clear" w:color="auto" w:fill="FFFFFF"/>
      </w:tcPr>
    </w:tblStylePr>
  </w:style>
  <w:style w:type="character" w:customStyle="1" w:styleId="Underlined">
    <w:name w:val="Underlined"/>
    <w:basedOn w:val="Subscript"/>
    <w:uiPriority w:val="1"/>
    <w:qFormat/>
    <w:rsid w:val="0005437F"/>
    <w:rPr>
      <w:rFonts w:ascii="Calibri" w:hAnsi="Calibri"/>
      <w:color w:val="404040" w:themeColor="text1" w:themeTint="BF"/>
      <w:sz w:val="22"/>
      <w:u w:val="single"/>
    </w:rPr>
  </w:style>
  <w:style w:type="paragraph" w:customStyle="1" w:styleId="Itallic">
    <w:name w:val="Itallic"/>
    <w:basedOn w:val="04Maintext"/>
    <w:link w:val="ItallicChar"/>
    <w:qFormat/>
    <w:rsid w:val="0005437F"/>
    <w:rPr>
      <w:i/>
    </w:rPr>
  </w:style>
  <w:style w:type="character" w:customStyle="1" w:styleId="ItallicChar">
    <w:name w:val="Itallic Char"/>
    <w:basedOn w:val="04MaintextChar"/>
    <w:link w:val="Itallic"/>
    <w:rsid w:val="0005437F"/>
    <w:rPr>
      <w:rFonts w:ascii="Calibri" w:eastAsia="Calibri" w:hAnsi="Calibri" w:cs="Times New Roman"/>
      <w:i/>
      <w:color w:val="404040" w:themeColor="text1" w:themeTint="BF"/>
      <w:lang w:val="en" w:eastAsia="en-GB"/>
    </w:rPr>
  </w:style>
  <w:style w:type="table" w:styleId="TableGridLight">
    <w:name w:val="Grid Table Light"/>
    <w:basedOn w:val="TableNormal"/>
    <w:uiPriority w:val="40"/>
    <w:locked/>
    <w:rsid w:val="00BB22F6"/>
    <w:pPr>
      <w:spacing w:after="0" w:line="240" w:lineRule="auto"/>
    </w:pPr>
    <w:tblPr>
      <w:tblBorders>
        <w:top w:val="single" w:sz="4" w:space="0" w:color="00366B" w:themeColor="background1" w:themeShade="BF"/>
        <w:left w:val="single" w:sz="4" w:space="0" w:color="00366B" w:themeColor="background1" w:themeShade="BF"/>
        <w:bottom w:val="single" w:sz="4" w:space="0" w:color="00366B" w:themeColor="background1" w:themeShade="BF"/>
        <w:right w:val="single" w:sz="4" w:space="0" w:color="00366B" w:themeColor="background1" w:themeShade="BF"/>
        <w:insideH w:val="single" w:sz="4" w:space="0" w:color="00366B" w:themeColor="background1" w:themeShade="BF"/>
        <w:insideV w:val="single" w:sz="4" w:space="0" w:color="00366B" w:themeColor="background1" w:themeShade="BF"/>
      </w:tblBorders>
    </w:tblPr>
  </w:style>
  <w:style w:type="table" w:customStyle="1" w:styleId="6pt4">
    <w:name w:val="6pt 4"/>
    <w:basedOn w:val="TableNormal"/>
    <w:uiPriority w:val="99"/>
    <w:rsid w:val="009A4E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D0EDFA" w:themeFill="background2" w:themeFillTint="66"/>
      </w:tcPr>
    </w:tblStylePr>
  </w:style>
  <w:style w:type="numbering" w:customStyle="1" w:styleId="Style1">
    <w:name w:val="Style1"/>
    <w:uiPriority w:val="99"/>
    <w:rsid w:val="00E36B4E"/>
    <w:pPr>
      <w:numPr>
        <w:numId w:val="9"/>
      </w:numPr>
    </w:pPr>
  </w:style>
  <w:style w:type="table" w:customStyle="1" w:styleId="TableGrid1">
    <w:name w:val="Table Grid1"/>
    <w:basedOn w:val="TableNormal"/>
    <w:next w:val="TableGrid"/>
    <w:uiPriority w:val="39"/>
    <w:rsid w:val="00BA3983"/>
    <w:pPr>
      <w:spacing w:before="0"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reesixty">
    <w:name w:val="threesixty"/>
    <w:basedOn w:val="TableNormal"/>
    <w:uiPriority w:val="99"/>
    <w:rsid w:val="00BA3983"/>
    <w:pPr>
      <w:spacing w:before="0" w:after="0"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D0EDFA" w:themeFill="background2" w:themeFillTint="66"/>
      </w:tcPr>
    </w:tblStylePr>
  </w:style>
  <w:style w:type="character" w:styleId="CommentReference">
    <w:name w:val="annotation reference"/>
    <w:basedOn w:val="DefaultParagraphFont"/>
    <w:uiPriority w:val="99"/>
    <w:semiHidden/>
    <w:unhideWhenUsed/>
    <w:rsid w:val="009D25F0"/>
    <w:rPr>
      <w:sz w:val="16"/>
      <w:szCs w:val="16"/>
    </w:rPr>
  </w:style>
  <w:style w:type="paragraph" w:styleId="CommentText">
    <w:name w:val="annotation text"/>
    <w:basedOn w:val="Normal"/>
    <w:link w:val="CommentTextChar"/>
    <w:uiPriority w:val="99"/>
    <w:semiHidden/>
    <w:unhideWhenUsed/>
    <w:rsid w:val="009D25F0"/>
    <w:pPr>
      <w:spacing w:line="240" w:lineRule="auto"/>
    </w:pPr>
    <w:rPr>
      <w:sz w:val="20"/>
      <w:szCs w:val="20"/>
    </w:rPr>
  </w:style>
  <w:style w:type="character" w:customStyle="1" w:styleId="CommentTextChar">
    <w:name w:val="Comment Text Char"/>
    <w:basedOn w:val="DefaultParagraphFont"/>
    <w:link w:val="CommentText"/>
    <w:uiPriority w:val="99"/>
    <w:semiHidden/>
    <w:rsid w:val="009D25F0"/>
    <w:rPr>
      <w:sz w:val="20"/>
      <w:szCs w:val="20"/>
    </w:rPr>
  </w:style>
  <w:style w:type="paragraph" w:styleId="CommentSubject">
    <w:name w:val="annotation subject"/>
    <w:basedOn w:val="CommentText"/>
    <w:next w:val="CommentText"/>
    <w:link w:val="CommentSubjectChar"/>
    <w:uiPriority w:val="99"/>
    <w:semiHidden/>
    <w:unhideWhenUsed/>
    <w:rsid w:val="009D25F0"/>
    <w:rPr>
      <w:b/>
      <w:bCs/>
    </w:rPr>
  </w:style>
  <w:style w:type="character" w:customStyle="1" w:styleId="CommentSubjectChar">
    <w:name w:val="Comment Subject Char"/>
    <w:basedOn w:val="CommentTextChar"/>
    <w:link w:val="CommentSubject"/>
    <w:uiPriority w:val="99"/>
    <w:semiHidden/>
    <w:rsid w:val="009D25F0"/>
    <w:rPr>
      <w:b/>
      <w:bCs/>
      <w:sz w:val="20"/>
      <w:szCs w:val="20"/>
    </w:rPr>
  </w:style>
  <w:style w:type="paragraph" w:styleId="NoSpacing">
    <w:name w:val="No Spacing"/>
    <w:uiPriority w:val="1"/>
    <w:qFormat/>
    <w:locked/>
    <w:rsid w:val="00B70DEF"/>
    <w:pPr>
      <w:spacing w:before="0" w:after="0" w:line="240" w:lineRule="auto"/>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361">
      <w:bodyDiv w:val="1"/>
      <w:marLeft w:val="0"/>
      <w:marRight w:val="0"/>
      <w:marTop w:val="0"/>
      <w:marBottom w:val="0"/>
      <w:divBdr>
        <w:top w:val="none" w:sz="0" w:space="0" w:color="auto"/>
        <w:left w:val="none" w:sz="0" w:space="0" w:color="auto"/>
        <w:bottom w:val="none" w:sz="0" w:space="0" w:color="auto"/>
        <w:right w:val="none" w:sz="0" w:space="0" w:color="auto"/>
      </w:divBdr>
    </w:div>
    <w:div w:id="408816481">
      <w:bodyDiv w:val="1"/>
      <w:marLeft w:val="0"/>
      <w:marRight w:val="0"/>
      <w:marTop w:val="0"/>
      <w:marBottom w:val="0"/>
      <w:divBdr>
        <w:top w:val="none" w:sz="0" w:space="0" w:color="auto"/>
        <w:left w:val="none" w:sz="0" w:space="0" w:color="auto"/>
        <w:bottom w:val="none" w:sz="0" w:space="0" w:color="auto"/>
        <w:right w:val="none" w:sz="0" w:space="0" w:color="auto"/>
      </w:divBdr>
    </w:div>
    <w:div w:id="832263512">
      <w:bodyDiv w:val="1"/>
      <w:marLeft w:val="0"/>
      <w:marRight w:val="0"/>
      <w:marTop w:val="0"/>
      <w:marBottom w:val="0"/>
      <w:divBdr>
        <w:top w:val="none" w:sz="0" w:space="0" w:color="auto"/>
        <w:left w:val="none" w:sz="0" w:space="0" w:color="auto"/>
        <w:bottom w:val="none" w:sz="0" w:space="0" w:color="auto"/>
        <w:right w:val="none" w:sz="0" w:space="0" w:color="auto"/>
      </w:divBdr>
    </w:div>
    <w:div w:id="1271935280">
      <w:bodyDiv w:val="1"/>
      <w:marLeft w:val="0"/>
      <w:marRight w:val="0"/>
      <w:marTop w:val="0"/>
      <w:marBottom w:val="0"/>
      <w:divBdr>
        <w:top w:val="none" w:sz="0" w:space="0" w:color="auto"/>
        <w:left w:val="none" w:sz="0" w:space="0" w:color="auto"/>
        <w:bottom w:val="none" w:sz="0" w:space="0" w:color="auto"/>
        <w:right w:val="none" w:sz="0" w:space="0" w:color="auto"/>
      </w:divBdr>
    </w:div>
    <w:div w:id="1440755649">
      <w:bodyDiv w:val="1"/>
      <w:marLeft w:val="0"/>
      <w:marRight w:val="0"/>
      <w:marTop w:val="0"/>
      <w:marBottom w:val="0"/>
      <w:divBdr>
        <w:top w:val="none" w:sz="0" w:space="0" w:color="auto"/>
        <w:left w:val="none" w:sz="0" w:space="0" w:color="auto"/>
        <w:bottom w:val="none" w:sz="0" w:space="0" w:color="auto"/>
        <w:right w:val="none" w:sz="0" w:space="0" w:color="auto"/>
      </w:divBdr>
    </w:div>
    <w:div w:id="189211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he\Desktop\templates\Template%20document%20template%20-%20Vertical.dotx" TargetMode="External"/></Relationships>
</file>

<file path=word/theme/theme1.xml><?xml version="1.0" encoding="utf-8"?>
<a:theme xmlns:a="http://schemas.openxmlformats.org/drawingml/2006/main" name="Theme1">
  <a:themeElements>
    <a:clrScheme name="threesixty template">
      <a:dk1>
        <a:srgbClr val="000000"/>
      </a:dk1>
      <a:lt1>
        <a:srgbClr val="004990"/>
      </a:lt1>
      <a:dk2>
        <a:srgbClr val="54BCEB"/>
      </a:dk2>
      <a:lt2>
        <a:srgbClr val="8CD3F4"/>
      </a:lt2>
      <a:accent1>
        <a:srgbClr val="6A737B"/>
      </a:accent1>
      <a:accent2>
        <a:srgbClr val="78278B"/>
      </a:accent2>
      <a:accent3>
        <a:srgbClr val="F095BF"/>
      </a:accent3>
      <a:accent4>
        <a:srgbClr val="E31837"/>
      </a:accent4>
      <a:accent5>
        <a:srgbClr val="6CB33F"/>
      </a:accent5>
      <a:accent6>
        <a:srgbClr val="D5E04D"/>
      </a:accent6>
      <a:hlink>
        <a:srgbClr val="0000FF"/>
      </a:hlink>
      <a:folHlink>
        <a:srgbClr val="800080"/>
      </a:folHlink>
    </a:clrScheme>
    <a:fontScheme name="threesixty">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s_x0020_Category xmlns="b3b4273b-3646-41d3-aab8-fc9cfb3aa0cd">Template Documents</ts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C154EB3B5E174EA142FC0DDB5FC590" ma:contentTypeVersion="29" ma:contentTypeDescription="Create a new document." ma:contentTypeScope="" ma:versionID="545f78f1a6670edc2ff79f90ea173e4b">
  <xsd:schema xmlns:xsd="http://www.w3.org/2001/XMLSchema" xmlns:xs="http://www.w3.org/2001/XMLSchema" xmlns:p="http://schemas.microsoft.com/office/2006/metadata/properties" xmlns:ns2="b3b4273b-3646-41d3-aab8-fc9cfb3aa0cd" targetNamespace="http://schemas.microsoft.com/office/2006/metadata/properties" ma:root="true" ma:fieldsID="8141d7e6c7a97508112818e87c141543" ns2:_="">
    <xsd:import namespace="b3b4273b-3646-41d3-aab8-fc9cfb3aa0cd"/>
    <xsd:element name="properties">
      <xsd:complexType>
        <xsd:sequence>
          <xsd:element name="documentManagement">
            <xsd:complexType>
              <xsd:all>
                <xsd:element ref="ns2:ts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4273b-3646-41d3-aab8-fc9cfb3aa0cd" elementFormDefault="qualified">
    <xsd:import namespace="http://schemas.microsoft.com/office/2006/documentManagement/types"/>
    <xsd:import namespace="http://schemas.microsoft.com/office/infopath/2007/PartnerControls"/>
    <xsd:element name="ts_x0020_Category" ma:index="8" ma:displayName="Category" ma:default="-- None --" ma:description="Category: A brief description of the target audience or subject matter area." ma:format="Dropdown" ma:internalName="ts_x0020_Category">
      <xsd:simpleType>
        <xsd:restriction base="dms:Choice">
          <xsd:enumeration value="-- None --"/>
          <xsd:enumeration value="Analysis"/>
          <xsd:enumeration value="Guidance"/>
          <xsd:enumeration value="Knowledge Base"/>
          <xsd:enumeration value="Template Documents"/>
          <xsd:enumeration value="Suitability Report"/>
          <xsd:enumeration value="Checklist"/>
          <xsd:enumeration value="Pension Factsheets"/>
          <xsd:enumeration value="Investment Factsheets"/>
          <xsd:enumeration value="Mortgages Factsheet"/>
          <xsd:enumeration value="Assorted Factsheets"/>
          <xsd:enumeration value="Direct Off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391F-9C51-42BF-ACE7-6C59A850C595}">
  <ds:schemaRefs>
    <ds:schemaRef ds:uri="http://schemas.microsoft.com/office/2006/metadata/properties"/>
    <ds:schemaRef ds:uri="http://schemas.microsoft.com/office/infopath/2007/PartnerControls"/>
    <ds:schemaRef ds:uri="b3b4273b-3646-41d3-aab8-fc9cfb3aa0cd"/>
  </ds:schemaRefs>
</ds:datastoreItem>
</file>

<file path=customXml/itemProps2.xml><?xml version="1.0" encoding="utf-8"?>
<ds:datastoreItem xmlns:ds="http://schemas.openxmlformats.org/officeDocument/2006/customXml" ds:itemID="{487CA8D7-B8F4-4338-8298-4C84CAD731E0}">
  <ds:schemaRefs>
    <ds:schemaRef ds:uri="http://schemas.microsoft.com/sharepoint/v3/contenttype/forms"/>
  </ds:schemaRefs>
</ds:datastoreItem>
</file>

<file path=customXml/itemProps3.xml><?xml version="1.0" encoding="utf-8"?>
<ds:datastoreItem xmlns:ds="http://schemas.openxmlformats.org/officeDocument/2006/customXml" ds:itemID="{2E51EB78-042C-484E-9515-C27A55D67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4273b-3646-41d3-aab8-fc9cfb3aa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0F759-8077-4AB4-B825-9A1FC0A7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document template - Vertical</Template>
  <TotalTime>0</TotalTime>
  <Pages>4</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Client Agreement - Investment and protection (what we do and how we charge) - Post MiFID II</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Agreement - Investment and protection (what we do and how we charge) - Post MiFID II</dc:title>
  <dc:subject/>
  <dc:creator>Sarah Helliar</dc:creator>
  <cp:keywords/>
  <dc:description/>
  <cp:lastModifiedBy>Craig Wilson</cp:lastModifiedBy>
  <cp:revision>3</cp:revision>
  <cp:lastPrinted>2024-11-19T17:21:00Z</cp:lastPrinted>
  <dcterms:created xsi:type="dcterms:W3CDTF">2025-10-29T12:07:00Z</dcterms:created>
  <dcterms:modified xsi:type="dcterms:W3CDTF">2025-10-29T12:22:00Z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0x01010042C154EB3B5E174EA142FC0DDB5FC590</vt:lpwstr>
  </property>
  <property fmtid="{D5CDD505-2E9C-101B-9397-08002B2CF9AE}" pid="3" name="Base Target">
    <vt:lpwstr>_blank</vt:lpwstr>
  </property>
</Properties>
</file>